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BF4E" w14:textId="6BDC91D6" w:rsidR="000A4AC9" w:rsidRPr="00252B56" w:rsidRDefault="000A4AC9" w:rsidP="000A4AC9">
      <w:pPr>
        <w:spacing w:before="83" w:line="254" w:lineRule="auto"/>
        <w:ind w:left="120" w:right="244"/>
        <w:rPr>
          <w:i/>
        </w:rPr>
      </w:pPr>
      <w:r>
        <w:rPr>
          <w:i/>
        </w:rPr>
        <w:t xml:space="preserve">Para obtener información sobre como este cambio afectará su factura y/o una copia de esta notificación en español visite </w:t>
      </w:r>
      <w:hyperlink r:id="rId11" w:history="1">
        <w:r>
          <w:rPr>
            <w:rStyle w:val="Hyperlink"/>
            <w:i/>
          </w:rPr>
          <w:t>www.sce.com/avisos</w:t>
        </w:r>
      </w:hyperlink>
    </w:p>
    <w:p w14:paraId="154CD92E" w14:textId="77777777" w:rsidR="00306A76" w:rsidRPr="005805E4" w:rsidRDefault="00306A76" w:rsidP="00A47018">
      <w:pPr>
        <w:pStyle w:val="BodyText"/>
        <w:spacing w:before="1" w:line="259" w:lineRule="auto"/>
        <w:ind w:right="330"/>
        <w:rPr>
          <w:b/>
          <w:bCs/>
          <w:lang w:val="es-419"/>
        </w:rPr>
      </w:pPr>
    </w:p>
    <w:p w14:paraId="76125A69" w14:textId="7CBE11A4" w:rsidR="00306A76" w:rsidRPr="00306A76" w:rsidRDefault="00306A76" w:rsidP="00306A76">
      <w:pPr>
        <w:pStyle w:val="BodyText"/>
        <w:spacing w:before="1" w:line="259" w:lineRule="auto"/>
        <w:ind w:right="330"/>
        <w:jc w:val="center"/>
        <w:rPr>
          <w:b/>
          <w:bCs/>
        </w:rPr>
      </w:pPr>
      <w:r>
        <w:rPr>
          <w:b/>
        </w:rPr>
        <w:t>AVISO DE PRESENTACIÓN DE UNA SOLICITUD DE</w:t>
      </w:r>
      <w:r w:rsidR="002D2A98">
        <w:rPr>
          <w:b/>
        </w:rPr>
        <w:t xml:space="preserve"> </w:t>
      </w:r>
      <w:r>
        <w:rPr>
          <w:b/>
        </w:rPr>
        <w:t>SOUTHERN CALIFORNIA EDISON COMPANY</w:t>
      </w:r>
      <w:r w:rsidR="002D2A98">
        <w:rPr>
          <w:b/>
        </w:rPr>
        <w:t xml:space="preserve"> </w:t>
      </w:r>
      <w:r>
        <w:rPr>
          <w:b/>
        </w:rPr>
        <w:t>PARA AUMENTAR LAS TARIFAS ELÉCTRICAS</w:t>
      </w:r>
    </w:p>
    <w:p w14:paraId="392375C4" w14:textId="71E701D9" w:rsidR="00306A76" w:rsidRPr="00306A76" w:rsidRDefault="00306A76" w:rsidP="00306A76">
      <w:pPr>
        <w:pStyle w:val="BodyText"/>
        <w:spacing w:before="1" w:line="259" w:lineRule="auto"/>
        <w:ind w:right="330"/>
        <w:jc w:val="center"/>
        <w:rPr>
          <w:b/>
          <w:bCs/>
        </w:rPr>
      </w:pPr>
      <w:r>
        <w:rPr>
          <w:b/>
        </w:rPr>
        <w:t>SOLICITUD A.23-01-020</w:t>
      </w:r>
    </w:p>
    <w:p w14:paraId="2351E271" w14:textId="77777777" w:rsidR="00306A76" w:rsidRDefault="00306A76" w:rsidP="00A47018">
      <w:pPr>
        <w:pStyle w:val="BodyText"/>
        <w:spacing w:before="1" w:line="259" w:lineRule="auto"/>
        <w:ind w:right="330"/>
        <w:rPr>
          <w:b/>
          <w:bCs/>
        </w:rPr>
      </w:pPr>
    </w:p>
    <w:p w14:paraId="1288AEBF" w14:textId="40347AD3" w:rsidR="00A47018" w:rsidRPr="00252B56" w:rsidRDefault="003F1744" w:rsidP="00A47018">
      <w:pPr>
        <w:pStyle w:val="BodyText"/>
        <w:spacing w:before="1" w:line="259" w:lineRule="auto"/>
        <w:ind w:right="330"/>
        <w:rPr>
          <w:b/>
          <w:bCs/>
        </w:rPr>
      </w:pPr>
      <w:r>
        <w:rPr>
          <w:b/>
        </w:rPr>
        <w:t>¿Por qué recibí este aviso?</w:t>
      </w:r>
    </w:p>
    <w:p w14:paraId="3876789E" w14:textId="290C5140" w:rsidR="005805E4" w:rsidRDefault="000A4AC9" w:rsidP="003F1744">
      <w:pPr>
        <w:pStyle w:val="BodyText"/>
        <w:spacing w:before="1" w:line="259" w:lineRule="auto"/>
        <w:ind w:right="330"/>
      </w:pPr>
      <w:r>
        <w:t>El 31 de enero de 2023, Southern California Edison Company (SCE) solicitó ante la Comisión de Servicios Públicos de California (CPUC, por sus siglas en inglés) la revisión y aprobación acelerada de su Solicitud del Mecanismo de Activación de los Requisitos de Ingresos (Solicitud) vinculados a su Cuenta de Recuperación de los Recursos Energéticos (ERRA) de 2023.  ERRA se utiliza para recuperar los costos de la compra de combustible y electricidad en los que incurre SCE a fin de abastecer servicio eléctrico a sus usuarios.</w:t>
      </w:r>
    </w:p>
    <w:p w14:paraId="6B74470D" w14:textId="77777777" w:rsidR="005805E4" w:rsidRDefault="005805E4" w:rsidP="003F1744">
      <w:pPr>
        <w:pStyle w:val="BodyText"/>
        <w:spacing w:before="1" w:line="259" w:lineRule="auto"/>
        <w:ind w:right="330"/>
      </w:pPr>
    </w:p>
    <w:p w14:paraId="775A8A37" w14:textId="4EA8B964" w:rsidR="00E23DAD" w:rsidRPr="00E23DAD" w:rsidRDefault="00E2658D" w:rsidP="00E23DAD">
      <w:pPr>
        <w:pStyle w:val="BodyText"/>
        <w:spacing w:before="1" w:line="259" w:lineRule="auto"/>
        <w:ind w:right="330"/>
      </w:pPr>
      <w:r>
        <w:t>Al 30 de abril de 2023, SCE prevé gastar $595.615 millones más en costos efectivos de compras que los recuperados a través de las tarifas de los clientes.  Esto se conoce como “déficit en el cobro”, y se debe a una serie de factores que incluyen, entre varios, el costo alto del gas natural.  Si la Solicitud de SCE se aprobase, es posible que sus tarifas aumenten como se indica en el siguiente cuadro.</w:t>
      </w:r>
    </w:p>
    <w:p w14:paraId="639767D1" w14:textId="77777777" w:rsidR="004D6BBA" w:rsidRDefault="004D6BBA" w:rsidP="003F1744">
      <w:pPr>
        <w:pStyle w:val="BodyText"/>
        <w:spacing w:before="1" w:line="259" w:lineRule="auto"/>
        <w:ind w:right="330"/>
      </w:pPr>
    </w:p>
    <w:p w14:paraId="5A82CF2C" w14:textId="6B65C300" w:rsidR="00E874D1" w:rsidRPr="00E874D1" w:rsidRDefault="008958CC" w:rsidP="00E874D1">
      <w:pPr>
        <w:pStyle w:val="BodyText"/>
        <w:spacing w:before="1" w:line="259" w:lineRule="auto"/>
        <w:ind w:right="330"/>
        <w:rPr>
          <w:b/>
          <w:bCs/>
        </w:rPr>
      </w:pPr>
      <w:r>
        <w:rPr>
          <w:b/>
        </w:rPr>
        <w:t>¿Por qué SCE está solicitando este aumento en las tarifas?</w:t>
      </w:r>
    </w:p>
    <w:p w14:paraId="2AD402A8" w14:textId="253666C2" w:rsidR="003D2F56" w:rsidRPr="00A743C4" w:rsidRDefault="003A10D9" w:rsidP="008958CC">
      <w:pPr>
        <w:pStyle w:val="BodyText"/>
        <w:spacing w:before="1" w:line="259" w:lineRule="auto"/>
        <w:ind w:right="330"/>
      </w:pPr>
      <w:r>
        <w:t xml:space="preserve">La CPUC requiere a SCE la presentación sin demora de una solicitud para la recuperación de su déficit en el cobro.  De acuerdo con este requisito, SCE presentó la Solicitud y pide que la CPUC le permita </w:t>
      </w:r>
      <w:r>
        <w:rPr>
          <w:color w:val="000000" w:themeColor="text1"/>
        </w:rPr>
        <w:t xml:space="preserve">incluir en sus tarifas </w:t>
      </w:r>
      <w:r>
        <w:t>el déficit en el cobro a partir del 1 de junio de 2023.</w:t>
      </w:r>
    </w:p>
    <w:p w14:paraId="1CEFC1A9" w14:textId="77777777" w:rsidR="003F1744" w:rsidRPr="00252B56" w:rsidRDefault="003F1744">
      <w:pPr>
        <w:pStyle w:val="BodyText"/>
        <w:spacing w:before="8"/>
        <w:rPr>
          <w:sz w:val="20"/>
        </w:rPr>
      </w:pPr>
    </w:p>
    <w:p w14:paraId="775A8A38" w14:textId="0EFA1DC6" w:rsidR="00775A80" w:rsidRPr="00252B56" w:rsidRDefault="00096DB5" w:rsidP="00316C8C">
      <w:pPr>
        <w:rPr>
          <w:b/>
          <w:sz w:val="24"/>
        </w:rPr>
      </w:pPr>
      <w:r>
        <w:rPr>
          <w:b/>
          <w:sz w:val="24"/>
        </w:rPr>
        <w:t>¿Qué efecto podría tener esto en mis tarifas eléctricas mensuales?</w:t>
      </w:r>
    </w:p>
    <w:p w14:paraId="775A8A46" w14:textId="5762104A" w:rsidR="00775A80" w:rsidRPr="00252B56" w:rsidRDefault="003D2F56" w:rsidP="00562663">
      <w:pPr>
        <w:pStyle w:val="BodyText"/>
        <w:spacing w:before="1" w:line="259" w:lineRule="auto"/>
        <w:ind w:right="330"/>
      </w:pPr>
      <w:r>
        <w:t>Si el déficit en el cobro se incluyera en las tarifas actuales, la factura del cliente residencial promedio no inscripto en CARE que consume 500 kWh al mes aumentaría alrededor de un 3.9% (o $6.49) al mes.</w:t>
      </w:r>
    </w:p>
    <w:p w14:paraId="3A888464" w14:textId="77777777" w:rsidR="00DD5FDC" w:rsidRPr="00252B56" w:rsidRDefault="00DD5FDC" w:rsidP="00DD5FDC">
      <w:pPr>
        <w:pStyle w:val="BodyText"/>
        <w:spacing w:before="10"/>
        <w:rPr>
          <w:sz w:val="20"/>
        </w:rPr>
      </w:pPr>
    </w:p>
    <w:p w14:paraId="775A8A48" w14:textId="7FF2C6D6" w:rsidR="00775A80" w:rsidRDefault="000A4AC9" w:rsidP="007163A1">
      <w:pPr>
        <w:jc w:val="center"/>
        <w:rPr>
          <w:b/>
          <w:bCs/>
          <w:i/>
          <w:iCs/>
          <w:sz w:val="24"/>
          <w:szCs w:val="24"/>
        </w:rPr>
      </w:pPr>
      <w:r>
        <w:rPr>
          <w:b/>
          <w:i/>
          <w:sz w:val="24"/>
        </w:rPr>
        <w:t>CUADRO DE IMPACTOS EN LAS FACTURAS DE LOS USUARIOS</w:t>
      </w:r>
    </w:p>
    <w:p w14:paraId="1FC2EAD1" w14:textId="13B71D22" w:rsidR="00ED5FF3" w:rsidRDefault="00ED5FF3" w:rsidP="0595101D">
      <w:pPr>
        <w:ind w:left="2928"/>
        <w:rPr>
          <w:b/>
          <w:bCs/>
          <w:i/>
          <w:iCs/>
          <w:sz w:val="24"/>
          <w:szCs w:val="24"/>
        </w:rPr>
      </w:pPr>
    </w:p>
    <w:tbl>
      <w:tblPr>
        <w:tblW w:w="9540" w:type="dxa"/>
        <w:tblLook w:val="04A0" w:firstRow="1" w:lastRow="0" w:firstColumn="1" w:lastColumn="0" w:noHBand="0" w:noVBand="1"/>
      </w:tblPr>
      <w:tblGrid>
        <w:gridCol w:w="3960"/>
        <w:gridCol w:w="1398"/>
        <w:gridCol w:w="1368"/>
        <w:gridCol w:w="114"/>
        <w:gridCol w:w="1218"/>
        <w:gridCol w:w="222"/>
        <w:gridCol w:w="1260"/>
      </w:tblGrid>
      <w:tr w:rsidR="00ED5FF3" w:rsidRPr="00ED5FF3" w14:paraId="013160A1" w14:textId="77777777" w:rsidTr="00ED5FF3">
        <w:trPr>
          <w:trHeight w:val="255"/>
        </w:trPr>
        <w:tc>
          <w:tcPr>
            <w:tcW w:w="9540" w:type="dxa"/>
            <w:gridSpan w:val="7"/>
            <w:tcBorders>
              <w:top w:val="nil"/>
              <w:left w:val="nil"/>
              <w:bottom w:val="nil"/>
              <w:right w:val="nil"/>
            </w:tcBorders>
            <w:shd w:val="clear" w:color="000000" w:fill="000000"/>
            <w:noWrap/>
            <w:vAlign w:val="center"/>
            <w:hideMark/>
          </w:tcPr>
          <w:p w14:paraId="0431AFC9" w14:textId="77777777" w:rsidR="00ED5FF3" w:rsidRPr="00ED5FF3" w:rsidRDefault="00ED5FF3" w:rsidP="00ED5FF3">
            <w:pPr>
              <w:widowControl/>
              <w:autoSpaceDE/>
              <w:autoSpaceDN/>
              <w:rPr>
                <w:rFonts w:ascii="Garamond" w:hAnsi="Garamond" w:cs="Calibri"/>
                <w:b/>
                <w:bCs/>
                <w:color w:val="FFFFFF"/>
                <w:sz w:val="18"/>
                <w:szCs w:val="18"/>
              </w:rPr>
            </w:pPr>
            <w:r>
              <w:rPr>
                <w:rFonts w:ascii="Garamond" w:hAnsi="Garamond"/>
                <w:b/>
                <w:color w:val="FFFFFF"/>
                <w:sz w:val="18"/>
              </w:rPr>
              <w:t>Tarifas promedio del servicio combinado (¢/kWh)</w:t>
            </w:r>
          </w:p>
        </w:tc>
      </w:tr>
      <w:tr w:rsidR="00ED5FF3" w:rsidRPr="00ED5FF3" w14:paraId="136F46A2" w14:textId="77777777" w:rsidTr="00ED5FF3">
        <w:trPr>
          <w:trHeight w:val="255"/>
        </w:trPr>
        <w:tc>
          <w:tcPr>
            <w:tcW w:w="3960" w:type="dxa"/>
            <w:tcBorders>
              <w:top w:val="nil"/>
              <w:left w:val="nil"/>
              <w:bottom w:val="single" w:sz="4" w:space="0" w:color="auto"/>
              <w:right w:val="nil"/>
            </w:tcBorders>
            <w:shd w:val="clear" w:color="000000" w:fill="F2F2F2"/>
            <w:noWrap/>
            <w:vAlign w:val="center"/>
            <w:hideMark/>
          </w:tcPr>
          <w:p w14:paraId="5E54B337" w14:textId="77777777" w:rsidR="00ED5FF3" w:rsidRPr="00ED5FF3" w:rsidRDefault="00ED5FF3" w:rsidP="00ED5FF3">
            <w:pPr>
              <w:widowControl/>
              <w:autoSpaceDE/>
              <w:autoSpaceDN/>
              <w:rPr>
                <w:rFonts w:ascii="Garamond" w:hAnsi="Garamond" w:cs="Calibri"/>
                <w:b/>
                <w:bCs/>
                <w:color w:val="000000"/>
                <w:sz w:val="18"/>
                <w:szCs w:val="18"/>
              </w:rPr>
            </w:pPr>
            <w:r>
              <w:rPr>
                <w:rFonts w:ascii="Garamond" w:hAnsi="Garamond"/>
                <w:b/>
                <w:color w:val="000000"/>
                <w:sz w:val="18"/>
              </w:rPr>
              <w:t>Tipo de usuario</w:t>
            </w:r>
          </w:p>
        </w:tc>
        <w:tc>
          <w:tcPr>
            <w:tcW w:w="1398" w:type="dxa"/>
            <w:tcBorders>
              <w:top w:val="nil"/>
              <w:left w:val="nil"/>
              <w:bottom w:val="single" w:sz="4" w:space="0" w:color="auto"/>
              <w:right w:val="nil"/>
            </w:tcBorders>
            <w:shd w:val="clear" w:color="000000" w:fill="F2F2F2"/>
            <w:noWrap/>
            <w:vAlign w:val="center"/>
            <w:hideMark/>
          </w:tcPr>
          <w:p w14:paraId="726C1DB2" w14:textId="77777777" w:rsidR="00ED5FF3" w:rsidRPr="00ED5FF3" w:rsidRDefault="00ED5FF3" w:rsidP="00206965">
            <w:pPr>
              <w:widowControl/>
              <w:autoSpaceDE/>
              <w:autoSpaceDN/>
              <w:jc w:val="center"/>
              <w:rPr>
                <w:rFonts w:ascii="Garamond" w:hAnsi="Garamond" w:cs="Calibri"/>
                <w:b/>
                <w:bCs/>
                <w:color w:val="000000"/>
                <w:sz w:val="18"/>
                <w:szCs w:val="18"/>
              </w:rPr>
            </w:pPr>
            <w:r>
              <w:rPr>
                <w:rFonts w:ascii="Garamond" w:hAnsi="Garamond"/>
                <w:b/>
                <w:color w:val="000000"/>
                <w:sz w:val="18"/>
              </w:rPr>
              <w:t>Tarifas actuales</w:t>
            </w:r>
          </w:p>
        </w:tc>
        <w:tc>
          <w:tcPr>
            <w:tcW w:w="1482" w:type="dxa"/>
            <w:gridSpan w:val="2"/>
            <w:tcBorders>
              <w:top w:val="nil"/>
              <w:left w:val="nil"/>
              <w:bottom w:val="single" w:sz="4" w:space="0" w:color="auto"/>
              <w:right w:val="nil"/>
            </w:tcBorders>
            <w:shd w:val="clear" w:color="000000" w:fill="F2F2F2"/>
            <w:noWrap/>
            <w:vAlign w:val="center"/>
            <w:hideMark/>
          </w:tcPr>
          <w:p w14:paraId="38BC1D5E" w14:textId="77777777" w:rsidR="00ED5FF3" w:rsidRPr="00ED5FF3" w:rsidRDefault="00ED5FF3" w:rsidP="00206965">
            <w:pPr>
              <w:widowControl/>
              <w:autoSpaceDE/>
              <w:autoSpaceDN/>
              <w:jc w:val="center"/>
              <w:rPr>
                <w:rFonts w:ascii="Garamond" w:hAnsi="Garamond" w:cs="Calibri"/>
                <w:b/>
                <w:bCs/>
                <w:color w:val="000000"/>
                <w:sz w:val="18"/>
                <w:szCs w:val="18"/>
              </w:rPr>
            </w:pPr>
            <w:r>
              <w:rPr>
                <w:rFonts w:ascii="Garamond" w:hAnsi="Garamond"/>
                <w:b/>
                <w:color w:val="000000"/>
                <w:sz w:val="18"/>
              </w:rPr>
              <w:t>Aumento solicitado</w:t>
            </w:r>
          </w:p>
        </w:tc>
        <w:tc>
          <w:tcPr>
            <w:tcW w:w="1440" w:type="dxa"/>
            <w:gridSpan w:val="2"/>
            <w:tcBorders>
              <w:top w:val="nil"/>
              <w:left w:val="nil"/>
              <w:bottom w:val="single" w:sz="4" w:space="0" w:color="auto"/>
              <w:right w:val="nil"/>
            </w:tcBorders>
            <w:shd w:val="clear" w:color="000000" w:fill="F2F2F2"/>
            <w:noWrap/>
            <w:vAlign w:val="center"/>
            <w:hideMark/>
          </w:tcPr>
          <w:p w14:paraId="23BF619D" w14:textId="77777777" w:rsidR="00ED5FF3" w:rsidRPr="00ED5FF3" w:rsidRDefault="00ED5FF3" w:rsidP="00206965">
            <w:pPr>
              <w:widowControl/>
              <w:autoSpaceDE/>
              <w:autoSpaceDN/>
              <w:jc w:val="center"/>
              <w:rPr>
                <w:rFonts w:ascii="Garamond" w:hAnsi="Garamond" w:cs="Calibri"/>
                <w:b/>
                <w:bCs/>
                <w:color w:val="000000"/>
                <w:sz w:val="18"/>
                <w:szCs w:val="18"/>
              </w:rPr>
            </w:pPr>
            <w:r>
              <w:rPr>
                <w:rFonts w:ascii="Garamond" w:hAnsi="Garamond"/>
                <w:b/>
                <w:color w:val="000000"/>
                <w:sz w:val="18"/>
              </w:rPr>
              <w:t>Tarifas solicitadas</w:t>
            </w:r>
          </w:p>
        </w:tc>
        <w:tc>
          <w:tcPr>
            <w:tcW w:w="1260" w:type="dxa"/>
            <w:tcBorders>
              <w:top w:val="nil"/>
              <w:left w:val="nil"/>
              <w:bottom w:val="single" w:sz="4" w:space="0" w:color="auto"/>
              <w:right w:val="nil"/>
            </w:tcBorders>
            <w:shd w:val="clear" w:color="000000" w:fill="F2F2F2"/>
            <w:noWrap/>
            <w:vAlign w:val="center"/>
            <w:hideMark/>
          </w:tcPr>
          <w:p w14:paraId="00107BF0" w14:textId="77777777" w:rsidR="00ED5FF3" w:rsidRPr="00ED5FF3" w:rsidRDefault="00ED5FF3" w:rsidP="00206965">
            <w:pPr>
              <w:widowControl/>
              <w:autoSpaceDE/>
              <w:autoSpaceDN/>
              <w:jc w:val="center"/>
              <w:rPr>
                <w:rFonts w:ascii="Garamond" w:hAnsi="Garamond" w:cs="Calibri"/>
                <w:b/>
                <w:bCs/>
                <w:color w:val="000000"/>
                <w:sz w:val="18"/>
                <w:szCs w:val="18"/>
              </w:rPr>
            </w:pPr>
            <w:r>
              <w:rPr>
                <w:rFonts w:ascii="Garamond" w:hAnsi="Garamond"/>
                <w:b/>
                <w:color w:val="000000"/>
                <w:sz w:val="18"/>
              </w:rPr>
              <w:t>% de aumento</w:t>
            </w:r>
          </w:p>
        </w:tc>
      </w:tr>
      <w:tr w:rsidR="00ED5FF3" w:rsidRPr="00ED5FF3" w14:paraId="50768190" w14:textId="77777777" w:rsidTr="00ED5FF3">
        <w:trPr>
          <w:trHeight w:val="285"/>
        </w:trPr>
        <w:tc>
          <w:tcPr>
            <w:tcW w:w="3960" w:type="dxa"/>
            <w:tcBorders>
              <w:top w:val="nil"/>
              <w:left w:val="nil"/>
              <w:bottom w:val="nil"/>
              <w:right w:val="nil"/>
            </w:tcBorders>
            <w:shd w:val="clear" w:color="auto" w:fill="auto"/>
            <w:noWrap/>
            <w:vAlign w:val="center"/>
            <w:hideMark/>
          </w:tcPr>
          <w:p w14:paraId="2EF58148"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Usuarios residenciales</w:t>
            </w:r>
          </w:p>
        </w:tc>
        <w:tc>
          <w:tcPr>
            <w:tcW w:w="1398" w:type="dxa"/>
            <w:tcBorders>
              <w:top w:val="nil"/>
              <w:left w:val="nil"/>
              <w:bottom w:val="nil"/>
              <w:right w:val="nil"/>
            </w:tcBorders>
            <w:shd w:val="clear" w:color="auto" w:fill="auto"/>
            <w:noWrap/>
            <w:vAlign w:val="center"/>
            <w:hideMark/>
          </w:tcPr>
          <w:p w14:paraId="1B6D72C8"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31.53</w:t>
            </w:r>
          </w:p>
        </w:tc>
        <w:tc>
          <w:tcPr>
            <w:tcW w:w="1482" w:type="dxa"/>
            <w:gridSpan w:val="2"/>
            <w:tcBorders>
              <w:top w:val="nil"/>
              <w:left w:val="nil"/>
              <w:bottom w:val="nil"/>
              <w:right w:val="nil"/>
            </w:tcBorders>
            <w:shd w:val="clear" w:color="auto" w:fill="auto"/>
            <w:noWrap/>
            <w:vAlign w:val="center"/>
            <w:hideMark/>
          </w:tcPr>
          <w:p w14:paraId="50D918D4"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1.25</w:t>
            </w:r>
          </w:p>
        </w:tc>
        <w:tc>
          <w:tcPr>
            <w:tcW w:w="1440" w:type="dxa"/>
            <w:gridSpan w:val="2"/>
            <w:tcBorders>
              <w:top w:val="nil"/>
              <w:left w:val="nil"/>
              <w:bottom w:val="nil"/>
              <w:right w:val="nil"/>
            </w:tcBorders>
            <w:shd w:val="clear" w:color="auto" w:fill="auto"/>
            <w:noWrap/>
            <w:vAlign w:val="center"/>
            <w:hideMark/>
          </w:tcPr>
          <w:p w14:paraId="339A635E"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32.78</w:t>
            </w:r>
          </w:p>
        </w:tc>
        <w:tc>
          <w:tcPr>
            <w:tcW w:w="1260" w:type="dxa"/>
            <w:tcBorders>
              <w:top w:val="nil"/>
              <w:left w:val="nil"/>
              <w:bottom w:val="nil"/>
              <w:right w:val="nil"/>
            </w:tcBorders>
            <w:shd w:val="clear" w:color="auto" w:fill="auto"/>
            <w:noWrap/>
            <w:vAlign w:val="center"/>
            <w:hideMark/>
          </w:tcPr>
          <w:p w14:paraId="44E2EBA2"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4.0%</w:t>
            </w:r>
          </w:p>
        </w:tc>
      </w:tr>
      <w:tr w:rsidR="00ED5FF3" w:rsidRPr="00ED5FF3" w14:paraId="2C001EB1" w14:textId="77777777" w:rsidTr="00ED5FF3">
        <w:trPr>
          <w:trHeight w:val="285"/>
        </w:trPr>
        <w:tc>
          <w:tcPr>
            <w:tcW w:w="3960" w:type="dxa"/>
            <w:tcBorders>
              <w:top w:val="nil"/>
              <w:left w:val="nil"/>
              <w:bottom w:val="nil"/>
              <w:right w:val="nil"/>
            </w:tcBorders>
            <w:shd w:val="clear" w:color="auto" w:fill="auto"/>
            <w:noWrap/>
            <w:vAlign w:val="center"/>
            <w:hideMark/>
          </w:tcPr>
          <w:p w14:paraId="6D5557BD"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Iluminación - Usuarios pequeños y medianos</w:t>
            </w:r>
          </w:p>
        </w:tc>
        <w:tc>
          <w:tcPr>
            <w:tcW w:w="1398" w:type="dxa"/>
            <w:tcBorders>
              <w:top w:val="nil"/>
              <w:left w:val="nil"/>
              <w:bottom w:val="nil"/>
              <w:right w:val="nil"/>
            </w:tcBorders>
            <w:shd w:val="clear" w:color="auto" w:fill="auto"/>
            <w:noWrap/>
            <w:vAlign w:val="center"/>
            <w:hideMark/>
          </w:tcPr>
          <w:p w14:paraId="7E13D31C"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27.83</w:t>
            </w:r>
          </w:p>
        </w:tc>
        <w:tc>
          <w:tcPr>
            <w:tcW w:w="1482" w:type="dxa"/>
            <w:gridSpan w:val="2"/>
            <w:tcBorders>
              <w:top w:val="nil"/>
              <w:left w:val="nil"/>
              <w:bottom w:val="nil"/>
              <w:right w:val="nil"/>
            </w:tcBorders>
            <w:shd w:val="clear" w:color="auto" w:fill="auto"/>
            <w:noWrap/>
            <w:vAlign w:val="center"/>
            <w:hideMark/>
          </w:tcPr>
          <w:p w14:paraId="5996D746"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1.20</w:t>
            </w:r>
          </w:p>
        </w:tc>
        <w:tc>
          <w:tcPr>
            <w:tcW w:w="1440" w:type="dxa"/>
            <w:gridSpan w:val="2"/>
            <w:tcBorders>
              <w:top w:val="nil"/>
              <w:left w:val="nil"/>
              <w:bottom w:val="nil"/>
              <w:right w:val="nil"/>
            </w:tcBorders>
            <w:shd w:val="clear" w:color="auto" w:fill="auto"/>
            <w:noWrap/>
            <w:vAlign w:val="center"/>
            <w:hideMark/>
          </w:tcPr>
          <w:p w14:paraId="0ACD8D3F"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29.03</w:t>
            </w:r>
          </w:p>
        </w:tc>
        <w:tc>
          <w:tcPr>
            <w:tcW w:w="1260" w:type="dxa"/>
            <w:tcBorders>
              <w:top w:val="nil"/>
              <w:left w:val="nil"/>
              <w:bottom w:val="nil"/>
              <w:right w:val="nil"/>
            </w:tcBorders>
            <w:shd w:val="clear" w:color="auto" w:fill="auto"/>
            <w:noWrap/>
            <w:vAlign w:val="center"/>
            <w:hideMark/>
          </w:tcPr>
          <w:p w14:paraId="0AB0642F"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4.3%</w:t>
            </w:r>
          </w:p>
        </w:tc>
      </w:tr>
      <w:tr w:rsidR="00ED5FF3" w:rsidRPr="00ED5FF3" w14:paraId="694A0109" w14:textId="77777777" w:rsidTr="00ED5FF3">
        <w:trPr>
          <w:trHeight w:val="285"/>
        </w:trPr>
        <w:tc>
          <w:tcPr>
            <w:tcW w:w="3960" w:type="dxa"/>
            <w:tcBorders>
              <w:top w:val="nil"/>
              <w:left w:val="nil"/>
              <w:bottom w:val="nil"/>
              <w:right w:val="nil"/>
            </w:tcBorders>
            <w:shd w:val="clear" w:color="auto" w:fill="auto"/>
            <w:noWrap/>
            <w:vAlign w:val="center"/>
            <w:hideMark/>
          </w:tcPr>
          <w:p w14:paraId="1BA627F2"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Grandes usuarios eléctricos</w:t>
            </w:r>
          </w:p>
        </w:tc>
        <w:tc>
          <w:tcPr>
            <w:tcW w:w="1398" w:type="dxa"/>
            <w:tcBorders>
              <w:top w:val="nil"/>
              <w:left w:val="nil"/>
              <w:bottom w:val="nil"/>
              <w:right w:val="nil"/>
            </w:tcBorders>
            <w:shd w:val="clear" w:color="auto" w:fill="auto"/>
            <w:noWrap/>
            <w:vAlign w:val="center"/>
            <w:hideMark/>
          </w:tcPr>
          <w:p w14:paraId="505738DE"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19.47</w:t>
            </w:r>
          </w:p>
        </w:tc>
        <w:tc>
          <w:tcPr>
            <w:tcW w:w="1482" w:type="dxa"/>
            <w:gridSpan w:val="2"/>
            <w:tcBorders>
              <w:top w:val="nil"/>
              <w:left w:val="nil"/>
              <w:bottom w:val="nil"/>
              <w:right w:val="nil"/>
            </w:tcBorders>
            <w:shd w:val="clear" w:color="auto" w:fill="auto"/>
            <w:noWrap/>
            <w:vAlign w:val="center"/>
            <w:hideMark/>
          </w:tcPr>
          <w:p w14:paraId="3D2D8134"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0.99</w:t>
            </w:r>
          </w:p>
        </w:tc>
        <w:tc>
          <w:tcPr>
            <w:tcW w:w="1440" w:type="dxa"/>
            <w:gridSpan w:val="2"/>
            <w:tcBorders>
              <w:top w:val="nil"/>
              <w:left w:val="nil"/>
              <w:bottom w:val="nil"/>
              <w:right w:val="nil"/>
            </w:tcBorders>
            <w:shd w:val="clear" w:color="auto" w:fill="auto"/>
            <w:noWrap/>
            <w:vAlign w:val="center"/>
            <w:hideMark/>
          </w:tcPr>
          <w:p w14:paraId="15C27897"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20.46</w:t>
            </w:r>
          </w:p>
        </w:tc>
        <w:tc>
          <w:tcPr>
            <w:tcW w:w="1260" w:type="dxa"/>
            <w:tcBorders>
              <w:top w:val="nil"/>
              <w:left w:val="nil"/>
              <w:bottom w:val="nil"/>
              <w:right w:val="nil"/>
            </w:tcBorders>
            <w:shd w:val="clear" w:color="auto" w:fill="auto"/>
            <w:noWrap/>
            <w:vAlign w:val="center"/>
            <w:hideMark/>
          </w:tcPr>
          <w:p w14:paraId="60990462"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5.1%</w:t>
            </w:r>
          </w:p>
        </w:tc>
      </w:tr>
      <w:tr w:rsidR="00ED5FF3" w:rsidRPr="00ED5FF3" w14:paraId="5D91AB32" w14:textId="77777777" w:rsidTr="00ED5FF3">
        <w:trPr>
          <w:trHeight w:val="285"/>
        </w:trPr>
        <w:tc>
          <w:tcPr>
            <w:tcW w:w="3960" w:type="dxa"/>
            <w:tcBorders>
              <w:top w:val="nil"/>
              <w:left w:val="nil"/>
              <w:bottom w:val="nil"/>
              <w:right w:val="nil"/>
            </w:tcBorders>
            <w:shd w:val="clear" w:color="auto" w:fill="auto"/>
            <w:noWrap/>
            <w:vAlign w:val="center"/>
            <w:hideMark/>
          </w:tcPr>
          <w:p w14:paraId="5716A384"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Agrícola y bombeo</w:t>
            </w:r>
          </w:p>
        </w:tc>
        <w:tc>
          <w:tcPr>
            <w:tcW w:w="1398" w:type="dxa"/>
            <w:tcBorders>
              <w:top w:val="nil"/>
              <w:left w:val="nil"/>
              <w:bottom w:val="nil"/>
              <w:right w:val="nil"/>
            </w:tcBorders>
            <w:shd w:val="clear" w:color="auto" w:fill="auto"/>
            <w:noWrap/>
            <w:vAlign w:val="center"/>
            <w:hideMark/>
          </w:tcPr>
          <w:p w14:paraId="1A8BD25A"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23.39</w:t>
            </w:r>
          </w:p>
        </w:tc>
        <w:tc>
          <w:tcPr>
            <w:tcW w:w="1482" w:type="dxa"/>
            <w:gridSpan w:val="2"/>
            <w:tcBorders>
              <w:top w:val="nil"/>
              <w:left w:val="nil"/>
              <w:bottom w:val="nil"/>
              <w:right w:val="nil"/>
            </w:tcBorders>
            <w:shd w:val="clear" w:color="auto" w:fill="auto"/>
            <w:noWrap/>
            <w:vAlign w:val="center"/>
            <w:hideMark/>
          </w:tcPr>
          <w:p w14:paraId="0111808B"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1.06</w:t>
            </w:r>
          </w:p>
        </w:tc>
        <w:tc>
          <w:tcPr>
            <w:tcW w:w="1440" w:type="dxa"/>
            <w:gridSpan w:val="2"/>
            <w:tcBorders>
              <w:top w:val="nil"/>
              <w:left w:val="nil"/>
              <w:bottom w:val="nil"/>
              <w:right w:val="nil"/>
            </w:tcBorders>
            <w:shd w:val="clear" w:color="auto" w:fill="auto"/>
            <w:noWrap/>
            <w:vAlign w:val="center"/>
            <w:hideMark/>
          </w:tcPr>
          <w:p w14:paraId="177D10AB"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24.45</w:t>
            </w:r>
          </w:p>
        </w:tc>
        <w:tc>
          <w:tcPr>
            <w:tcW w:w="1260" w:type="dxa"/>
            <w:tcBorders>
              <w:top w:val="nil"/>
              <w:left w:val="nil"/>
              <w:bottom w:val="nil"/>
              <w:right w:val="nil"/>
            </w:tcBorders>
            <w:shd w:val="clear" w:color="auto" w:fill="auto"/>
            <w:noWrap/>
            <w:vAlign w:val="center"/>
            <w:hideMark/>
          </w:tcPr>
          <w:p w14:paraId="33F51E21"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4.5%</w:t>
            </w:r>
          </w:p>
        </w:tc>
      </w:tr>
      <w:tr w:rsidR="00ED5FF3" w:rsidRPr="00ED5FF3" w14:paraId="72B0CC98" w14:textId="77777777" w:rsidTr="00ED5FF3">
        <w:trPr>
          <w:trHeight w:val="285"/>
        </w:trPr>
        <w:tc>
          <w:tcPr>
            <w:tcW w:w="3960" w:type="dxa"/>
            <w:tcBorders>
              <w:top w:val="nil"/>
              <w:left w:val="nil"/>
              <w:bottom w:val="nil"/>
              <w:right w:val="nil"/>
            </w:tcBorders>
            <w:shd w:val="clear" w:color="auto" w:fill="auto"/>
            <w:noWrap/>
            <w:vAlign w:val="center"/>
            <w:hideMark/>
          </w:tcPr>
          <w:p w14:paraId="38617F22"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Iluminación de calles y áreas</w:t>
            </w:r>
          </w:p>
        </w:tc>
        <w:tc>
          <w:tcPr>
            <w:tcW w:w="1398" w:type="dxa"/>
            <w:tcBorders>
              <w:top w:val="nil"/>
              <w:left w:val="nil"/>
              <w:bottom w:val="nil"/>
              <w:right w:val="nil"/>
            </w:tcBorders>
            <w:shd w:val="clear" w:color="auto" w:fill="auto"/>
            <w:noWrap/>
            <w:vAlign w:val="center"/>
            <w:hideMark/>
          </w:tcPr>
          <w:p w14:paraId="0F5714F8"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31.65</w:t>
            </w:r>
          </w:p>
        </w:tc>
        <w:tc>
          <w:tcPr>
            <w:tcW w:w="1482" w:type="dxa"/>
            <w:gridSpan w:val="2"/>
            <w:tcBorders>
              <w:top w:val="nil"/>
              <w:left w:val="nil"/>
              <w:bottom w:val="nil"/>
              <w:right w:val="nil"/>
            </w:tcBorders>
            <w:shd w:val="clear" w:color="auto" w:fill="auto"/>
            <w:noWrap/>
            <w:vAlign w:val="center"/>
            <w:hideMark/>
          </w:tcPr>
          <w:p w14:paraId="1ACC2ADD"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0.71</w:t>
            </w:r>
          </w:p>
        </w:tc>
        <w:tc>
          <w:tcPr>
            <w:tcW w:w="1440" w:type="dxa"/>
            <w:gridSpan w:val="2"/>
            <w:tcBorders>
              <w:top w:val="nil"/>
              <w:left w:val="nil"/>
              <w:bottom w:val="nil"/>
              <w:right w:val="nil"/>
            </w:tcBorders>
            <w:shd w:val="clear" w:color="auto" w:fill="auto"/>
            <w:noWrap/>
            <w:vAlign w:val="center"/>
            <w:hideMark/>
          </w:tcPr>
          <w:p w14:paraId="25951FAD"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32.36</w:t>
            </w:r>
          </w:p>
        </w:tc>
        <w:tc>
          <w:tcPr>
            <w:tcW w:w="1260" w:type="dxa"/>
            <w:tcBorders>
              <w:top w:val="nil"/>
              <w:left w:val="nil"/>
              <w:bottom w:val="nil"/>
              <w:right w:val="nil"/>
            </w:tcBorders>
            <w:shd w:val="clear" w:color="auto" w:fill="auto"/>
            <w:noWrap/>
            <w:vAlign w:val="center"/>
            <w:hideMark/>
          </w:tcPr>
          <w:p w14:paraId="64ECFCF2"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2.2%</w:t>
            </w:r>
          </w:p>
        </w:tc>
      </w:tr>
      <w:tr w:rsidR="00ED5FF3" w:rsidRPr="00ED5FF3" w14:paraId="7D974B48" w14:textId="77777777" w:rsidTr="00ED5FF3">
        <w:trPr>
          <w:trHeight w:val="285"/>
        </w:trPr>
        <w:tc>
          <w:tcPr>
            <w:tcW w:w="3960" w:type="dxa"/>
            <w:tcBorders>
              <w:top w:val="nil"/>
              <w:left w:val="nil"/>
              <w:bottom w:val="nil"/>
              <w:right w:val="nil"/>
            </w:tcBorders>
            <w:shd w:val="clear" w:color="auto" w:fill="auto"/>
            <w:noWrap/>
            <w:vAlign w:val="center"/>
            <w:hideMark/>
          </w:tcPr>
          <w:p w14:paraId="03A5C6A7"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Standby</w:t>
            </w:r>
          </w:p>
        </w:tc>
        <w:tc>
          <w:tcPr>
            <w:tcW w:w="1398" w:type="dxa"/>
            <w:tcBorders>
              <w:top w:val="nil"/>
              <w:left w:val="nil"/>
              <w:bottom w:val="nil"/>
              <w:right w:val="nil"/>
            </w:tcBorders>
            <w:shd w:val="clear" w:color="auto" w:fill="auto"/>
            <w:noWrap/>
            <w:vAlign w:val="center"/>
            <w:hideMark/>
          </w:tcPr>
          <w:p w14:paraId="09C2A9A5"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16.95</w:t>
            </w:r>
          </w:p>
        </w:tc>
        <w:tc>
          <w:tcPr>
            <w:tcW w:w="1482" w:type="dxa"/>
            <w:gridSpan w:val="2"/>
            <w:tcBorders>
              <w:top w:val="nil"/>
              <w:left w:val="nil"/>
              <w:bottom w:val="nil"/>
              <w:right w:val="nil"/>
            </w:tcBorders>
            <w:shd w:val="clear" w:color="auto" w:fill="auto"/>
            <w:noWrap/>
            <w:vAlign w:val="center"/>
            <w:hideMark/>
          </w:tcPr>
          <w:p w14:paraId="0BF2E288"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0.96</w:t>
            </w:r>
          </w:p>
        </w:tc>
        <w:tc>
          <w:tcPr>
            <w:tcW w:w="1440" w:type="dxa"/>
            <w:gridSpan w:val="2"/>
            <w:tcBorders>
              <w:top w:val="nil"/>
              <w:left w:val="nil"/>
              <w:bottom w:val="nil"/>
              <w:right w:val="nil"/>
            </w:tcBorders>
            <w:shd w:val="clear" w:color="auto" w:fill="auto"/>
            <w:noWrap/>
            <w:vAlign w:val="center"/>
            <w:hideMark/>
          </w:tcPr>
          <w:p w14:paraId="7FE928BC"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17.91</w:t>
            </w:r>
          </w:p>
        </w:tc>
        <w:tc>
          <w:tcPr>
            <w:tcW w:w="1260" w:type="dxa"/>
            <w:tcBorders>
              <w:top w:val="nil"/>
              <w:left w:val="nil"/>
              <w:bottom w:val="nil"/>
              <w:right w:val="nil"/>
            </w:tcBorders>
            <w:shd w:val="clear" w:color="auto" w:fill="auto"/>
            <w:noWrap/>
            <w:vAlign w:val="center"/>
            <w:hideMark/>
          </w:tcPr>
          <w:p w14:paraId="2ECCB061"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5.7%</w:t>
            </w:r>
          </w:p>
        </w:tc>
      </w:tr>
      <w:tr w:rsidR="00ED5FF3" w:rsidRPr="00ED5FF3" w14:paraId="095203E1" w14:textId="77777777" w:rsidTr="00ED5FF3">
        <w:trPr>
          <w:trHeight w:val="240"/>
        </w:trPr>
        <w:tc>
          <w:tcPr>
            <w:tcW w:w="3960" w:type="dxa"/>
            <w:tcBorders>
              <w:top w:val="single" w:sz="4" w:space="0" w:color="auto"/>
              <w:left w:val="nil"/>
              <w:bottom w:val="nil"/>
              <w:right w:val="nil"/>
            </w:tcBorders>
            <w:shd w:val="clear" w:color="000000" w:fill="FFC000"/>
            <w:noWrap/>
            <w:vAlign w:val="center"/>
            <w:hideMark/>
          </w:tcPr>
          <w:p w14:paraId="30300563" w14:textId="77777777" w:rsidR="00ED5FF3" w:rsidRPr="00ED5FF3" w:rsidRDefault="00ED5FF3" w:rsidP="00ED5FF3">
            <w:pPr>
              <w:widowControl/>
              <w:autoSpaceDE/>
              <w:autoSpaceDN/>
              <w:rPr>
                <w:rFonts w:ascii="Garamond" w:hAnsi="Garamond" w:cs="Calibri"/>
                <w:b/>
                <w:bCs/>
                <w:color w:val="000000"/>
                <w:sz w:val="18"/>
                <w:szCs w:val="18"/>
              </w:rPr>
            </w:pPr>
            <w:r>
              <w:rPr>
                <w:rFonts w:ascii="Garamond" w:hAnsi="Garamond"/>
                <w:b/>
                <w:color w:val="000000"/>
                <w:sz w:val="18"/>
              </w:rPr>
              <w:t>Total</w:t>
            </w:r>
          </w:p>
        </w:tc>
        <w:tc>
          <w:tcPr>
            <w:tcW w:w="1398" w:type="dxa"/>
            <w:tcBorders>
              <w:top w:val="single" w:sz="4" w:space="0" w:color="auto"/>
              <w:left w:val="nil"/>
              <w:bottom w:val="nil"/>
              <w:right w:val="nil"/>
            </w:tcBorders>
            <w:shd w:val="clear" w:color="000000" w:fill="FFC000"/>
            <w:noWrap/>
            <w:vAlign w:val="center"/>
            <w:hideMark/>
          </w:tcPr>
          <w:p w14:paraId="3D4B8719" w14:textId="77777777" w:rsidR="00ED5FF3" w:rsidRPr="00ED5FF3" w:rsidRDefault="00ED5FF3" w:rsidP="00ED5FF3">
            <w:pPr>
              <w:widowControl/>
              <w:autoSpaceDE/>
              <w:autoSpaceDN/>
              <w:jc w:val="right"/>
              <w:rPr>
                <w:rFonts w:ascii="Garamond" w:hAnsi="Garamond" w:cs="Calibri"/>
                <w:b/>
                <w:bCs/>
                <w:color w:val="000000"/>
                <w:sz w:val="18"/>
                <w:szCs w:val="18"/>
              </w:rPr>
            </w:pPr>
            <w:r>
              <w:rPr>
                <w:rFonts w:ascii="Garamond" w:hAnsi="Garamond"/>
                <w:b/>
                <w:color w:val="000000"/>
                <w:sz w:val="18"/>
              </w:rPr>
              <w:t>26.23</w:t>
            </w:r>
          </w:p>
        </w:tc>
        <w:tc>
          <w:tcPr>
            <w:tcW w:w="1482" w:type="dxa"/>
            <w:gridSpan w:val="2"/>
            <w:tcBorders>
              <w:top w:val="single" w:sz="4" w:space="0" w:color="auto"/>
              <w:left w:val="nil"/>
              <w:bottom w:val="nil"/>
              <w:right w:val="nil"/>
            </w:tcBorders>
            <w:shd w:val="clear" w:color="000000" w:fill="FFC000"/>
            <w:noWrap/>
            <w:vAlign w:val="center"/>
            <w:hideMark/>
          </w:tcPr>
          <w:p w14:paraId="158AA5A6" w14:textId="77777777" w:rsidR="00ED5FF3" w:rsidRPr="00ED5FF3" w:rsidRDefault="00ED5FF3" w:rsidP="00ED5FF3">
            <w:pPr>
              <w:widowControl/>
              <w:autoSpaceDE/>
              <w:autoSpaceDN/>
              <w:jc w:val="right"/>
              <w:rPr>
                <w:rFonts w:ascii="Garamond" w:hAnsi="Garamond" w:cs="Calibri"/>
                <w:b/>
                <w:bCs/>
                <w:color w:val="000000"/>
                <w:sz w:val="18"/>
                <w:szCs w:val="18"/>
              </w:rPr>
            </w:pPr>
            <w:r>
              <w:rPr>
                <w:rFonts w:ascii="Garamond" w:hAnsi="Garamond"/>
                <w:b/>
                <w:color w:val="000000"/>
                <w:sz w:val="18"/>
              </w:rPr>
              <w:t>1.14</w:t>
            </w:r>
          </w:p>
        </w:tc>
        <w:tc>
          <w:tcPr>
            <w:tcW w:w="1440" w:type="dxa"/>
            <w:gridSpan w:val="2"/>
            <w:tcBorders>
              <w:top w:val="single" w:sz="4" w:space="0" w:color="auto"/>
              <w:left w:val="nil"/>
              <w:bottom w:val="nil"/>
              <w:right w:val="nil"/>
            </w:tcBorders>
            <w:shd w:val="clear" w:color="000000" w:fill="FFC000"/>
            <w:noWrap/>
            <w:vAlign w:val="center"/>
            <w:hideMark/>
          </w:tcPr>
          <w:p w14:paraId="03018370" w14:textId="77777777" w:rsidR="00ED5FF3" w:rsidRPr="00ED5FF3" w:rsidRDefault="00ED5FF3" w:rsidP="00ED5FF3">
            <w:pPr>
              <w:widowControl/>
              <w:autoSpaceDE/>
              <w:autoSpaceDN/>
              <w:jc w:val="right"/>
              <w:rPr>
                <w:rFonts w:ascii="Garamond" w:hAnsi="Garamond" w:cs="Calibri"/>
                <w:b/>
                <w:bCs/>
                <w:color w:val="000000"/>
                <w:sz w:val="18"/>
                <w:szCs w:val="18"/>
              </w:rPr>
            </w:pPr>
            <w:r>
              <w:rPr>
                <w:rFonts w:ascii="Garamond" w:hAnsi="Garamond"/>
                <w:b/>
                <w:color w:val="000000"/>
                <w:sz w:val="18"/>
              </w:rPr>
              <w:t>27.37</w:t>
            </w:r>
          </w:p>
        </w:tc>
        <w:tc>
          <w:tcPr>
            <w:tcW w:w="1260" w:type="dxa"/>
            <w:tcBorders>
              <w:top w:val="single" w:sz="4" w:space="0" w:color="auto"/>
              <w:left w:val="nil"/>
              <w:bottom w:val="nil"/>
              <w:right w:val="nil"/>
            </w:tcBorders>
            <w:shd w:val="clear" w:color="000000" w:fill="FFC000"/>
            <w:noWrap/>
            <w:vAlign w:val="center"/>
            <w:hideMark/>
          </w:tcPr>
          <w:p w14:paraId="6C1C00A7" w14:textId="77777777" w:rsidR="00ED5FF3" w:rsidRPr="00ED5FF3" w:rsidRDefault="00ED5FF3" w:rsidP="00ED5FF3">
            <w:pPr>
              <w:widowControl/>
              <w:autoSpaceDE/>
              <w:autoSpaceDN/>
              <w:jc w:val="center"/>
              <w:rPr>
                <w:rFonts w:ascii="Garamond" w:hAnsi="Garamond" w:cs="Calibri"/>
                <w:b/>
                <w:bCs/>
                <w:color w:val="000000"/>
                <w:sz w:val="18"/>
                <w:szCs w:val="18"/>
              </w:rPr>
            </w:pPr>
            <w:r>
              <w:rPr>
                <w:rFonts w:ascii="Garamond" w:hAnsi="Garamond"/>
                <w:b/>
                <w:color w:val="000000"/>
                <w:sz w:val="18"/>
              </w:rPr>
              <w:t>4.4%</w:t>
            </w:r>
          </w:p>
        </w:tc>
      </w:tr>
      <w:tr w:rsidR="00ED5FF3" w:rsidRPr="00ED5FF3" w14:paraId="05F363E3" w14:textId="77777777" w:rsidTr="00ED5FF3">
        <w:trPr>
          <w:trHeight w:val="240"/>
        </w:trPr>
        <w:tc>
          <w:tcPr>
            <w:tcW w:w="3960" w:type="dxa"/>
            <w:tcBorders>
              <w:top w:val="nil"/>
              <w:left w:val="nil"/>
              <w:bottom w:val="nil"/>
              <w:right w:val="nil"/>
            </w:tcBorders>
            <w:shd w:val="clear" w:color="auto" w:fill="auto"/>
            <w:noWrap/>
            <w:vAlign w:val="bottom"/>
            <w:hideMark/>
          </w:tcPr>
          <w:p w14:paraId="2A6B86DC" w14:textId="77777777" w:rsidR="00ED5FF3" w:rsidRPr="00ED5FF3" w:rsidRDefault="00ED5FF3" w:rsidP="00ED5FF3">
            <w:pPr>
              <w:widowControl/>
              <w:autoSpaceDE/>
              <w:autoSpaceDN/>
              <w:jc w:val="center"/>
              <w:rPr>
                <w:rFonts w:ascii="Garamond" w:hAnsi="Garamond" w:cs="Calibri"/>
                <w:b/>
                <w:bCs/>
                <w:color w:val="000000"/>
                <w:sz w:val="18"/>
                <w:szCs w:val="18"/>
              </w:rPr>
            </w:pPr>
          </w:p>
        </w:tc>
        <w:tc>
          <w:tcPr>
            <w:tcW w:w="1398" w:type="dxa"/>
            <w:tcBorders>
              <w:top w:val="nil"/>
              <w:left w:val="nil"/>
              <w:bottom w:val="nil"/>
              <w:right w:val="nil"/>
            </w:tcBorders>
            <w:shd w:val="clear" w:color="auto" w:fill="auto"/>
            <w:noWrap/>
            <w:vAlign w:val="bottom"/>
            <w:hideMark/>
          </w:tcPr>
          <w:p w14:paraId="7A2181A2" w14:textId="77777777" w:rsidR="00ED5FF3" w:rsidRPr="00ED5FF3" w:rsidRDefault="00ED5FF3" w:rsidP="00ED5FF3">
            <w:pPr>
              <w:widowControl/>
              <w:autoSpaceDE/>
              <w:autoSpaceDN/>
              <w:rPr>
                <w:sz w:val="20"/>
                <w:szCs w:val="20"/>
              </w:rPr>
            </w:pPr>
          </w:p>
        </w:tc>
        <w:tc>
          <w:tcPr>
            <w:tcW w:w="1368" w:type="dxa"/>
            <w:tcBorders>
              <w:top w:val="nil"/>
              <w:left w:val="nil"/>
              <w:bottom w:val="nil"/>
              <w:right w:val="nil"/>
            </w:tcBorders>
            <w:shd w:val="clear" w:color="auto" w:fill="auto"/>
            <w:noWrap/>
            <w:vAlign w:val="bottom"/>
            <w:hideMark/>
          </w:tcPr>
          <w:p w14:paraId="72770A47" w14:textId="77777777" w:rsidR="00ED5FF3" w:rsidRPr="00ED5FF3" w:rsidRDefault="00ED5FF3" w:rsidP="00ED5FF3">
            <w:pPr>
              <w:widowControl/>
              <w:autoSpaceDE/>
              <w:autoSpaceDN/>
              <w:rPr>
                <w:sz w:val="20"/>
                <w:szCs w:val="20"/>
              </w:rPr>
            </w:pPr>
          </w:p>
        </w:tc>
        <w:tc>
          <w:tcPr>
            <w:tcW w:w="1332" w:type="dxa"/>
            <w:gridSpan w:val="2"/>
            <w:tcBorders>
              <w:top w:val="nil"/>
              <w:left w:val="nil"/>
              <w:bottom w:val="nil"/>
              <w:right w:val="nil"/>
            </w:tcBorders>
            <w:shd w:val="clear" w:color="auto" w:fill="auto"/>
            <w:noWrap/>
            <w:vAlign w:val="bottom"/>
            <w:hideMark/>
          </w:tcPr>
          <w:p w14:paraId="5BD22B52" w14:textId="77777777" w:rsidR="00ED5FF3" w:rsidRPr="00ED5FF3" w:rsidRDefault="00ED5FF3" w:rsidP="00ED5FF3">
            <w:pPr>
              <w:widowControl/>
              <w:autoSpaceDE/>
              <w:autoSpaceDN/>
              <w:rPr>
                <w:sz w:val="20"/>
                <w:szCs w:val="20"/>
              </w:rPr>
            </w:pPr>
          </w:p>
        </w:tc>
        <w:tc>
          <w:tcPr>
            <w:tcW w:w="1482" w:type="dxa"/>
            <w:gridSpan w:val="2"/>
            <w:tcBorders>
              <w:top w:val="nil"/>
              <w:left w:val="nil"/>
              <w:bottom w:val="nil"/>
              <w:right w:val="nil"/>
            </w:tcBorders>
            <w:shd w:val="clear" w:color="auto" w:fill="auto"/>
            <w:noWrap/>
            <w:vAlign w:val="bottom"/>
            <w:hideMark/>
          </w:tcPr>
          <w:p w14:paraId="28D4C76D" w14:textId="77777777" w:rsidR="00ED5FF3" w:rsidRPr="00ED5FF3" w:rsidRDefault="00ED5FF3" w:rsidP="00ED5FF3">
            <w:pPr>
              <w:widowControl/>
              <w:autoSpaceDE/>
              <w:autoSpaceDN/>
              <w:rPr>
                <w:sz w:val="20"/>
                <w:szCs w:val="20"/>
              </w:rPr>
            </w:pPr>
          </w:p>
        </w:tc>
      </w:tr>
      <w:tr w:rsidR="00ED5FF3" w:rsidRPr="00ED5FF3" w14:paraId="2429DDB9" w14:textId="77777777" w:rsidTr="00ED5FF3">
        <w:trPr>
          <w:trHeight w:val="240"/>
        </w:trPr>
        <w:tc>
          <w:tcPr>
            <w:tcW w:w="9540" w:type="dxa"/>
            <w:gridSpan w:val="7"/>
            <w:tcBorders>
              <w:top w:val="nil"/>
              <w:left w:val="nil"/>
              <w:bottom w:val="nil"/>
              <w:right w:val="nil"/>
            </w:tcBorders>
            <w:shd w:val="clear" w:color="000000" w:fill="000000"/>
            <w:noWrap/>
            <w:vAlign w:val="center"/>
            <w:hideMark/>
          </w:tcPr>
          <w:p w14:paraId="654BB349" w14:textId="77777777" w:rsidR="00ED5FF3" w:rsidRPr="00ED5FF3" w:rsidRDefault="00ED5FF3" w:rsidP="00ED5FF3">
            <w:pPr>
              <w:widowControl/>
              <w:autoSpaceDE/>
              <w:autoSpaceDN/>
              <w:rPr>
                <w:rFonts w:ascii="Garamond" w:hAnsi="Garamond" w:cs="Calibri"/>
                <w:b/>
                <w:bCs/>
                <w:color w:val="FFFFFF"/>
                <w:sz w:val="18"/>
                <w:szCs w:val="18"/>
              </w:rPr>
            </w:pPr>
            <w:r>
              <w:rPr>
                <w:rFonts w:ascii="Garamond" w:hAnsi="Garamond"/>
                <w:b/>
                <w:color w:val="FFFFFF"/>
                <w:sz w:val="18"/>
              </w:rPr>
              <w:t>Impacto en la factura residencial ($/mes)</w:t>
            </w:r>
          </w:p>
        </w:tc>
      </w:tr>
      <w:tr w:rsidR="00ED5FF3" w:rsidRPr="00ED5FF3" w14:paraId="1DC7B420" w14:textId="77777777" w:rsidTr="00ED5FF3">
        <w:trPr>
          <w:trHeight w:val="240"/>
        </w:trPr>
        <w:tc>
          <w:tcPr>
            <w:tcW w:w="3960" w:type="dxa"/>
            <w:tcBorders>
              <w:top w:val="nil"/>
              <w:left w:val="nil"/>
              <w:bottom w:val="single" w:sz="4" w:space="0" w:color="auto"/>
              <w:right w:val="nil"/>
            </w:tcBorders>
            <w:shd w:val="clear" w:color="000000" w:fill="F2F2F2"/>
            <w:noWrap/>
            <w:vAlign w:val="center"/>
            <w:hideMark/>
          </w:tcPr>
          <w:p w14:paraId="752BD2C1" w14:textId="77777777" w:rsidR="00ED5FF3" w:rsidRPr="00ED5FF3" w:rsidRDefault="00ED5FF3" w:rsidP="00ED5FF3">
            <w:pPr>
              <w:widowControl/>
              <w:autoSpaceDE/>
              <w:autoSpaceDN/>
              <w:rPr>
                <w:rFonts w:ascii="Garamond" w:hAnsi="Garamond" w:cs="Calibri"/>
                <w:b/>
                <w:bCs/>
                <w:color w:val="000000"/>
                <w:sz w:val="18"/>
                <w:szCs w:val="18"/>
              </w:rPr>
            </w:pPr>
            <w:r>
              <w:rPr>
                <w:rFonts w:ascii="Garamond" w:hAnsi="Garamond"/>
                <w:b/>
                <w:color w:val="000000"/>
                <w:sz w:val="18"/>
              </w:rPr>
              <w:t>Descripción</w:t>
            </w:r>
          </w:p>
        </w:tc>
        <w:tc>
          <w:tcPr>
            <w:tcW w:w="1398" w:type="dxa"/>
            <w:tcBorders>
              <w:top w:val="nil"/>
              <w:left w:val="nil"/>
              <w:bottom w:val="single" w:sz="4" w:space="0" w:color="auto"/>
              <w:right w:val="nil"/>
            </w:tcBorders>
            <w:shd w:val="clear" w:color="000000" w:fill="F2F2F2"/>
            <w:noWrap/>
            <w:vAlign w:val="center"/>
            <w:hideMark/>
          </w:tcPr>
          <w:p w14:paraId="2D411A12" w14:textId="77777777" w:rsidR="00ED5FF3" w:rsidRPr="00ED5FF3" w:rsidRDefault="00ED5FF3" w:rsidP="00ED5FF3">
            <w:pPr>
              <w:widowControl/>
              <w:autoSpaceDE/>
              <w:autoSpaceDN/>
              <w:jc w:val="center"/>
              <w:rPr>
                <w:rFonts w:ascii="Garamond" w:hAnsi="Garamond" w:cs="Calibri"/>
                <w:b/>
                <w:bCs/>
                <w:color w:val="000000"/>
                <w:sz w:val="18"/>
                <w:szCs w:val="18"/>
              </w:rPr>
            </w:pPr>
            <w:r>
              <w:rPr>
                <w:rFonts w:ascii="Garamond" w:hAnsi="Garamond"/>
                <w:b/>
                <w:color w:val="000000"/>
                <w:sz w:val="18"/>
              </w:rPr>
              <w:t>Actual</w:t>
            </w:r>
          </w:p>
        </w:tc>
        <w:tc>
          <w:tcPr>
            <w:tcW w:w="1482" w:type="dxa"/>
            <w:gridSpan w:val="2"/>
            <w:tcBorders>
              <w:top w:val="nil"/>
              <w:left w:val="nil"/>
              <w:bottom w:val="single" w:sz="4" w:space="0" w:color="auto"/>
              <w:right w:val="nil"/>
            </w:tcBorders>
            <w:shd w:val="clear" w:color="000000" w:fill="F2F2F2"/>
            <w:noWrap/>
            <w:vAlign w:val="center"/>
            <w:hideMark/>
          </w:tcPr>
          <w:p w14:paraId="3591E401" w14:textId="77777777" w:rsidR="00ED5FF3" w:rsidRPr="00ED5FF3" w:rsidRDefault="00ED5FF3" w:rsidP="00ED5FF3">
            <w:pPr>
              <w:widowControl/>
              <w:autoSpaceDE/>
              <w:autoSpaceDN/>
              <w:jc w:val="center"/>
              <w:rPr>
                <w:rFonts w:ascii="Garamond" w:hAnsi="Garamond" w:cs="Calibri"/>
                <w:b/>
                <w:bCs/>
                <w:color w:val="000000"/>
                <w:sz w:val="18"/>
                <w:szCs w:val="18"/>
              </w:rPr>
            </w:pPr>
            <w:r>
              <w:rPr>
                <w:rFonts w:ascii="Garamond" w:hAnsi="Garamond"/>
                <w:b/>
                <w:color w:val="000000"/>
                <w:sz w:val="18"/>
              </w:rPr>
              <w:t>Aumento solicitado</w:t>
            </w:r>
          </w:p>
        </w:tc>
        <w:tc>
          <w:tcPr>
            <w:tcW w:w="1440" w:type="dxa"/>
            <w:gridSpan w:val="2"/>
            <w:tcBorders>
              <w:top w:val="nil"/>
              <w:left w:val="nil"/>
              <w:bottom w:val="single" w:sz="4" w:space="0" w:color="auto"/>
              <w:right w:val="nil"/>
            </w:tcBorders>
            <w:shd w:val="clear" w:color="000000" w:fill="F2F2F2"/>
            <w:noWrap/>
            <w:vAlign w:val="center"/>
            <w:hideMark/>
          </w:tcPr>
          <w:p w14:paraId="38E4CE6F" w14:textId="77777777" w:rsidR="00ED5FF3" w:rsidRPr="00ED5FF3" w:rsidRDefault="00ED5FF3" w:rsidP="00ED5FF3">
            <w:pPr>
              <w:widowControl/>
              <w:autoSpaceDE/>
              <w:autoSpaceDN/>
              <w:jc w:val="center"/>
              <w:rPr>
                <w:rFonts w:ascii="Garamond" w:hAnsi="Garamond" w:cs="Calibri"/>
                <w:b/>
                <w:bCs/>
                <w:color w:val="000000"/>
                <w:sz w:val="18"/>
                <w:szCs w:val="18"/>
              </w:rPr>
            </w:pPr>
            <w:r>
              <w:rPr>
                <w:rFonts w:ascii="Garamond" w:hAnsi="Garamond"/>
                <w:b/>
                <w:color w:val="000000"/>
                <w:sz w:val="18"/>
              </w:rPr>
              <w:t>Solicitada</w:t>
            </w:r>
          </w:p>
        </w:tc>
        <w:tc>
          <w:tcPr>
            <w:tcW w:w="1260" w:type="dxa"/>
            <w:tcBorders>
              <w:top w:val="nil"/>
              <w:left w:val="nil"/>
              <w:bottom w:val="single" w:sz="4" w:space="0" w:color="auto"/>
              <w:right w:val="nil"/>
            </w:tcBorders>
            <w:shd w:val="clear" w:color="000000" w:fill="F2F2F2"/>
            <w:noWrap/>
            <w:vAlign w:val="center"/>
            <w:hideMark/>
          </w:tcPr>
          <w:p w14:paraId="3CD04A85" w14:textId="77777777" w:rsidR="00ED5FF3" w:rsidRPr="00ED5FF3" w:rsidRDefault="00ED5FF3" w:rsidP="00ED5FF3">
            <w:pPr>
              <w:widowControl/>
              <w:autoSpaceDE/>
              <w:autoSpaceDN/>
              <w:jc w:val="center"/>
              <w:rPr>
                <w:rFonts w:ascii="Garamond" w:hAnsi="Garamond" w:cs="Calibri"/>
                <w:b/>
                <w:bCs/>
                <w:color w:val="000000"/>
                <w:sz w:val="18"/>
                <w:szCs w:val="18"/>
              </w:rPr>
            </w:pPr>
            <w:r>
              <w:rPr>
                <w:rFonts w:ascii="Garamond" w:hAnsi="Garamond"/>
                <w:b/>
                <w:color w:val="000000"/>
                <w:sz w:val="18"/>
              </w:rPr>
              <w:t>% de aumento</w:t>
            </w:r>
          </w:p>
        </w:tc>
      </w:tr>
      <w:tr w:rsidR="00ED5FF3" w:rsidRPr="00ED5FF3" w14:paraId="0722FAB3" w14:textId="77777777" w:rsidTr="00ED5FF3">
        <w:trPr>
          <w:trHeight w:val="240"/>
        </w:trPr>
        <w:tc>
          <w:tcPr>
            <w:tcW w:w="3960" w:type="dxa"/>
            <w:tcBorders>
              <w:top w:val="nil"/>
              <w:left w:val="nil"/>
              <w:bottom w:val="nil"/>
              <w:right w:val="nil"/>
            </w:tcBorders>
            <w:shd w:val="clear" w:color="auto" w:fill="auto"/>
            <w:noWrap/>
            <w:vAlign w:val="center"/>
            <w:hideMark/>
          </w:tcPr>
          <w:p w14:paraId="1155E102"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Factura residencial no inscripta en CARE</w:t>
            </w:r>
          </w:p>
        </w:tc>
        <w:tc>
          <w:tcPr>
            <w:tcW w:w="1398" w:type="dxa"/>
            <w:tcBorders>
              <w:top w:val="nil"/>
              <w:left w:val="nil"/>
              <w:bottom w:val="nil"/>
              <w:right w:val="nil"/>
            </w:tcBorders>
            <w:shd w:val="clear" w:color="auto" w:fill="auto"/>
            <w:noWrap/>
            <w:vAlign w:val="center"/>
            <w:hideMark/>
          </w:tcPr>
          <w:p w14:paraId="26A5B1BD"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$164.56 </w:t>
            </w:r>
          </w:p>
        </w:tc>
        <w:tc>
          <w:tcPr>
            <w:tcW w:w="1482" w:type="dxa"/>
            <w:gridSpan w:val="2"/>
            <w:tcBorders>
              <w:top w:val="nil"/>
              <w:left w:val="nil"/>
              <w:bottom w:val="nil"/>
              <w:right w:val="nil"/>
            </w:tcBorders>
            <w:shd w:val="clear" w:color="auto" w:fill="auto"/>
            <w:noWrap/>
            <w:vAlign w:val="center"/>
            <w:hideMark/>
          </w:tcPr>
          <w:p w14:paraId="3DA0795A"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$6.49 </w:t>
            </w:r>
          </w:p>
        </w:tc>
        <w:tc>
          <w:tcPr>
            <w:tcW w:w="1440" w:type="dxa"/>
            <w:gridSpan w:val="2"/>
            <w:tcBorders>
              <w:top w:val="nil"/>
              <w:left w:val="nil"/>
              <w:bottom w:val="nil"/>
              <w:right w:val="nil"/>
            </w:tcBorders>
            <w:shd w:val="clear" w:color="auto" w:fill="auto"/>
            <w:noWrap/>
            <w:vAlign w:val="center"/>
            <w:hideMark/>
          </w:tcPr>
          <w:p w14:paraId="505C356E"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$171.04 </w:t>
            </w:r>
          </w:p>
        </w:tc>
        <w:tc>
          <w:tcPr>
            <w:tcW w:w="1260" w:type="dxa"/>
            <w:tcBorders>
              <w:top w:val="nil"/>
              <w:left w:val="nil"/>
              <w:bottom w:val="nil"/>
              <w:right w:val="nil"/>
            </w:tcBorders>
            <w:shd w:val="clear" w:color="auto" w:fill="auto"/>
            <w:noWrap/>
            <w:vAlign w:val="center"/>
            <w:hideMark/>
          </w:tcPr>
          <w:p w14:paraId="7C7A9E97"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3.9%</w:t>
            </w:r>
          </w:p>
        </w:tc>
      </w:tr>
      <w:tr w:rsidR="00ED5FF3" w:rsidRPr="00ED5FF3" w14:paraId="2F32950A" w14:textId="77777777" w:rsidTr="00ED5FF3">
        <w:trPr>
          <w:trHeight w:val="240"/>
        </w:trPr>
        <w:tc>
          <w:tcPr>
            <w:tcW w:w="3960" w:type="dxa"/>
            <w:tcBorders>
              <w:top w:val="nil"/>
              <w:left w:val="nil"/>
              <w:bottom w:val="nil"/>
              <w:right w:val="nil"/>
            </w:tcBorders>
            <w:shd w:val="clear" w:color="auto" w:fill="auto"/>
            <w:noWrap/>
            <w:vAlign w:val="center"/>
            <w:hideMark/>
          </w:tcPr>
          <w:p w14:paraId="63F8519C" w14:textId="77777777" w:rsidR="00ED5FF3" w:rsidRPr="00ED5FF3" w:rsidRDefault="00ED5FF3" w:rsidP="00ED5FF3">
            <w:pPr>
              <w:widowControl/>
              <w:autoSpaceDE/>
              <w:autoSpaceDN/>
              <w:rPr>
                <w:rFonts w:ascii="Garamond" w:hAnsi="Garamond" w:cs="Calibri"/>
                <w:color w:val="000000"/>
                <w:sz w:val="18"/>
                <w:szCs w:val="18"/>
              </w:rPr>
            </w:pPr>
            <w:r>
              <w:rPr>
                <w:rFonts w:ascii="Garamond" w:hAnsi="Garamond"/>
                <w:color w:val="000000"/>
                <w:sz w:val="18"/>
              </w:rPr>
              <w:t>Factura residencial inscripta en CARE</w:t>
            </w:r>
          </w:p>
        </w:tc>
        <w:tc>
          <w:tcPr>
            <w:tcW w:w="1398" w:type="dxa"/>
            <w:tcBorders>
              <w:top w:val="nil"/>
              <w:left w:val="nil"/>
              <w:bottom w:val="nil"/>
              <w:right w:val="nil"/>
            </w:tcBorders>
            <w:shd w:val="clear" w:color="auto" w:fill="auto"/>
            <w:noWrap/>
            <w:vAlign w:val="center"/>
            <w:hideMark/>
          </w:tcPr>
          <w:p w14:paraId="485FAA6F"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$111.42 </w:t>
            </w:r>
          </w:p>
        </w:tc>
        <w:tc>
          <w:tcPr>
            <w:tcW w:w="1482" w:type="dxa"/>
            <w:gridSpan w:val="2"/>
            <w:tcBorders>
              <w:top w:val="nil"/>
              <w:left w:val="nil"/>
              <w:bottom w:val="nil"/>
              <w:right w:val="nil"/>
            </w:tcBorders>
            <w:shd w:val="clear" w:color="auto" w:fill="auto"/>
            <w:noWrap/>
            <w:vAlign w:val="center"/>
            <w:hideMark/>
          </w:tcPr>
          <w:p w14:paraId="191A3938"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$4.39 </w:t>
            </w:r>
          </w:p>
        </w:tc>
        <w:tc>
          <w:tcPr>
            <w:tcW w:w="1440" w:type="dxa"/>
            <w:gridSpan w:val="2"/>
            <w:tcBorders>
              <w:top w:val="nil"/>
              <w:left w:val="nil"/>
              <w:bottom w:val="nil"/>
              <w:right w:val="nil"/>
            </w:tcBorders>
            <w:shd w:val="clear" w:color="auto" w:fill="auto"/>
            <w:noWrap/>
            <w:vAlign w:val="center"/>
            <w:hideMark/>
          </w:tcPr>
          <w:p w14:paraId="1E11EB78" w14:textId="77777777" w:rsidR="00ED5FF3" w:rsidRPr="00ED5FF3" w:rsidRDefault="00ED5FF3" w:rsidP="00ED5FF3">
            <w:pPr>
              <w:widowControl/>
              <w:autoSpaceDE/>
              <w:autoSpaceDN/>
              <w:jc w:val="right"/>
              <w:rPr>
                <w:rFonts w:ascii="Garamond" w:hAnsi="Garamond" w:cs="Calibri"/>
                <w:color w:val="000000"/>
                <w:sz w:val="18"/>
                <w:szCs w:val="18"/>
              </w:rPr>
            </w:pPr>
            <w:r>
              <w:rPr>
                <w:rFonts w:ascii="Garamond" w:hAnsi="Garamond"/>
                <w:color w:val="000000"/>
                <w:sz w:val="18"/>
              </w:rPr>
              <w:t xml:space="preserve">$115.81 </w:t>
            </w:r>
          </w:p>
        </w:tc>
        <w:tc>
          <w:tcPr>
            <w:tcW w:w="1260" w:type="dxa"/>
            <w:tcBorders>
              <w:top w:val="nil"/>
              <w:left w:val="nil"/>
              <w:bottom w:val="nil"/>
              <w:right w:val="nil"/>
            </w:tcBorders>
            <w:shd w:val="clear" w:color="auto" w:fill="auto"/>
            <w:noWrap/>
            <w:vAlign w:val="center"/>
            <w:hideMark/>
          </w:tcPr>
          <w:p w14:paraId="30831111" w14:textId="77777777" w:rsidR="00ED5FF3" w:rsidRPr="00ED5FF3" w:rsidRDefault="00ED5FF3" w:rsidP="00ED5FF3">
            <w:pPr>
              <w:widowControl/>
              <w:autoSpaceDE/>
              <w:autoSpaceDN/>
              <w:jc w:val="center"/>
              <w:rPr>
                <w:rFonts w:ascii="Garamond" w:hAnsi="Garamond" w:cs="Calibri"/>
                <w:color w:val="000000"/>
                <w:sz w:val="18"/>
                <w:szCs w:val="18"/>
              </w:rPr>
            </w:pPr>
            <w:r>
              <w:rPr>
                <w:rFonts w:ascii="Garamond" w:hAnsi="Garamond"/>
                <w:color w:val="000000"/>
                <w:sz w:val="18"/>
              </w:rPr>
              <w:t>3.9%</w:t>
            </w:r>
          </w:p>
        </w:tc>
      </w:tr>
    </w:tbl>
    <w:p w14:paraId="6A606DD2" w14:textId="77777777" w:rsidR="00775A80" w:rsidRPr="00252B56" w:rsidRDefault="00775A80">
      <w:pPr>
        <w:pStyle w:val="BodyText"/>
        <w:rPr>
          <w:b/>
          <w:bCs/>
          <w:sz w:val="26"/>
        </w:rPr>
      </w:pPr>
    </w:p>
    <w:p w14:paraId="15307C53" w14:textId="77777777" w:rsidR="00282232" w:rsidRPr="00FD049B" w:rsidRDefault="00282232" w:rsidP="00FD049B">
      <w:pPr>
        <w:pStyle w:val="BodyText"/>
        <w:spacing w:before="1" w:line="259" w:lineRule="auto"/>
        <w:ind w:right="330"/>
        <w:rPr>
          <w:b/>
          <w:bCs/>
        </w:rPr>
      </w:pPr>
      <w:r>
        <w:rPr>
          <w:b/>
        </w:rPr>
        <w:t xml:space="preserve">¿Cómo funciona el resto del proceso? </w:t>
      </w:r>
    </w:p>
    <w:p w14:paraId="5DB10B5D" w14:textId="74C4F28D" w:rsidR="00DD5FDC" w:rsidRPr="0091035B" w:rsidRDefault="00DD5FDC" w:rsidP="00DD5FDC">
      <w:pPr>
        <w:rPr>
          <w:sz w:val="24"/>
          <w:szCs w:val="24"/>
        </w:rPr>
      </w:pPr>
      <w:r>
        <w:rPr>
          <w:sz w:val="24"/>
        </w:rPr>
        <w:t xml:space="preserve">Esta Solicitud se asignará a un juez administrativo de la CPUC que tendrá en cuenta todas las </w:t>
      </w:r>
      <w:r>
        <w:rPr>
          <w:sz w:val="24"/>
        </w:rPr>
        <w:lastRenderedPageBreak/>
        <w:t xml:space="preserve">propuestas y pruebas presentadas durante el proceso formal de audiencias. El juez administrativo tomará una resolución preliminar que puede aceptar, modificar o rechazar la solicitud de SCE. Cualquiera de los integrantes de la CPUC puede presentar una resolución alternativa con un resultado diferente. La resolución preliminar y cualquier resolución alternativa se tratarán y someterán a votación entre los integrantes de la CPUC en una reunión pública. </w:t>
      </w:r>
    </w:p>
    <w:p w14:paraId="6C0DD24A" w14:textId="77777777" w:rsidR="00DD5FDC" w:rsidRPr="0091035B" w:rsidRDefault="00DD5FDC" w:rsidP="00DD5FDC">
      <w:pPr>
        <w:rPr>
          <w:sz w:val="24"/>
          <w:szCs w:val="24"/>
        </w:rPr>
      </w:pPr>
    </w:p>
    <w:p w14:paraId="6949431D" w14:textId="28901EF9" w:rsidR="00DD5FDC" w:rsidRDefault="00DD5FDC" w:rsidP="00DD5FDC">
      <w:pPr>
        <w:rPr>
          <w:sz w:val="24"/>
          <w:szCs w:val="24"/>
        </w:rPr>
      </w:pPr>
      <w:r>
        <w:rPr>
          <w:sz w:val="24"/>
        </w:rPr>
        <w:t>Las partes del proceso pueden analizar la solicitud de SCE, incluida la Oficina de los Defensores Públicos (</w:t>
      </w:r>
      <w:r>
        <w:rPr>
          <w:i/>
          <w:iCs/>
          <w:sz w:val="24"/>
        </w:rPr>
        <w:t>Public Advocates Office</w:t>
      </w:r>
      <w:r>
        <w:rPr>
          <w:sz w:val="24"/>
        </w:rPr>
        <w:t>). La Oficina de los Defensores Públicos es una sección independiente de la CPUC que representa los intereses de los consumidores para que obtengan las tarifas más bajas posibles compatibles con un nivel de servicio seguro y confiable. Para más información sobre la Oficina de los Defensores Públicos, llámelos al 1-415-703-1584, envíeles un correo electrónico a PublicAdvocatesOffice@cpuc.ca.gov o visite su sitio Web PublicAdvocates.cpuc.ca.gov.</w:t>
      </w:r>
    </w:p>
    <w:p w14:paraId="4B7E6455" w14:textId="77777777" w:rsidR="00A305E2" w:rsidRPr="00252B56" w:rsidRDefault="00A305E2" w:rsidP="00A305E2">
      <w:pPr>
        <w:rPr>
          <w:b/>
          <w:bCs/>
        </w:rPr>
      </w:pPr>
    </w:p>
    <w:p w14:paraId="4ADBF163" w14:textId="770A3592" w:rsidR="00A305E2" w:rsidRDefault="00A305E2" w:rsidP="00FD049B">
      <w:pPr>
        <w:pStyle w:val="BodyText"/>
        <w:spacing w:before="1" w:line="259" w:lineRule="auto"/>
        <w:ind w:right="330"/>
        <w:rPr>
          <w:b/>
          <w:bCs/>
        </w:rPr>
      </w:pPr>
      <w:r>
        <w:rPr>
          <w:b/>
        </w:rPr>
        <w:t xml:space="preserve">¿Dónde puedo obtener más información? </w:t>
      </w:r>
    </w:p>
    <w:p w14:paraId="5DB61162" w14:textId="77777777" w:rsidR="00936F0A" w:rsidRPr="00252B56" w:rsidRDefault="00936F0A" w:rsidP="00A305E2">
      <w:pPr>
        <w:rPr>
          <w:b/>
          <w:bCs/>
        </w:rPr>
      </w:pPr>
    </w:p>
    <w:p w14:paraId="72C83B01" w14:textId="5E4B0FFB" w:rsidR="00A305E2" w:rsidRPr="0003373B" w:rsidRDefault="00A305E2" w:rsidP="00A305E2">
      <w:pPr>
        <w:rPr>
          <w:b/>
          <w:bCs/>
          <w:sz w:val="24"/>
          <w:szCs w:val="24"/>
        </w:rPr>
      </w:pPr>
      <w:r>
        <w:rPr>
          <w:b/>
          <w:sz w:val="24"/>
        </w:rPr>
        <w:t>Comuníquese con SCE:</w:t>
      </w:r>
      <w:r>
        <w:rPr>
          <w:sz w:val="24"/>
        </w:rPr>
        <w:t xml:space="preserve"> </w:t>
      </w:r>
    </w:p>
    <w:p w14:paraId="068C7F9E" w14:textId="7B550574" w:rsidR="00A305E2" w:rsidRPr="0003373B" w:rsidRDefault="00A305E2" w:rsidP="00A305E2">
      <w:pPr>
        <w:ind w:left="720"/>
        <w:rPr>
          <w:sz w:val="24"/>
          <w:szCs w:val="24"/>
        </w:rPr>
      </w:pPr>
      <w:r>
        <w:rPr>
          <w:sz w:val="24"/>
        </w:rPr>
        <w:t xml:space="preserve">Teléfono: </w:t>
      </w:r>
      <w:r w:rsidR="007160D8">
        <w:rPr>
          <w:sz w:val="24"/>
        </w:rPr>
        <w:tab/>
      </w:r>
      <w:r w:rsidR="007160D8">
        <w:rPr>
          <w:sz w:val="24"/>
        </w:rPr>
        <w:tab/>
      </w:r>
      <w:r>
        <w:rPr>
          <w:b/>
          <w:sz w:val="24"/>
        </w:rPr>
        <w:t>1-800-655-4555</w:t>
      </w:r>
    </w:p>
    <w:p w14:paraId="04367EBF" w14:textId="2C797F28" w:rsidR="00A305E2" w:rsidRPr="0003373B" w:rsidRDefault="00A305E2" w:rsidP="00A305E2">
      <w:pPr>
        <w:ind w:left="720"/>
        <w:rPr>
          <w:sz w:val="24"/>
          <w:szCs w:val="24"/>
        </w:rPr>
      </w:pPr>
      <w:r>
        <w:t xml:space="preserve">Correo electrónico: </w:t>
      </w:r>
      <w:r w:rsidR="007160D8">
        <w:tab/>
      </w:r>
      <w:hyperlink r:id="rId12" w:history="1">
        <w:r w:rsidR="007160D8" w:rsidRPr="000555E4">
          <w:rPr>
            <w:rStyle w:val="Hyperlink"/>
            <w:sz w:val="24"/>
          </w:rPr>
          <w:t>case.admin@sce.com</w:t>
        </w:r>
      </w:hyperlink>
    </w:p>
    <w:p w14:paraId="7A3F967F" w14:textId="18027F15" w:rsidR="00A305E2" w:rsidRPr="0003373B" w:rsidRDefault="00A305E2" w:rsidP="00A305E2">
      <w:pPr>
        <w:ind w:left="720"/>
        <w:rPr>
          <w:sz w:val="24"/>
          <w:szCs w:val="24"/>
        </w:rPr>
      </w:pPr>
      <w:r>
        <w:rPr>
          <w:sz w:val="24"/>
        </w:rPr>
        <w:t xml:space="preserve">Correo: </w:t>
      </w:r>
    </w:p>
    <w:p w14:paraId="6BDA7E99" w14:textId="03069E01" w:rsidR="00A305E2" w:rsidRPr="0003373B" w:rsidRDefault="00DD5FDC" w:rsidP="007160D8">
      <w:pPr>
        <w:spacing w:before="1"/>
        <w:ind w:left="2880"/>
        <w:rPr>
          <w:sz w:val="24"/>
          <w:szCs w:val="24"/>
        </w:rPr>
      </w:pPr>
      <w:r>
        <w:rPr>
          <w:sz w:val="24"/>
        </w:rPr>
        <w:t>Eric Lee</w:t>
      </w:r>
    </w:p>
    <w:p w14:paraId="15B53383" w14:textId="3248EC09" w:rsidR="00A305E2" w:rsidRPr="0003373B" w:rsidRDefault="00A305E2" w:rsidP="007160D8">
      <w:pPr>
        <w:spacing w:before="1"/>
        <w:ind w:left="2880"/>
        <w:rPr>
          <w:sz w:val="24"/>
          <w:szCs w:val="24"/>
        </w:rPr>
      </w:pPr>
      <w:r>
        <w:rPr>
          <w:sz w:val="24"/>
        </w:rPr>
        <w:t>Southern California Edison Company</w:t>
      </w:r>
    </w:p>
    <w:p w14:paraId="3837918B" w14:textId="7D9082B5" w:rsidR="00A305E2" w:rsidRPr="0003373B" w:rsidRDefault="00A305E2" w:rsidP="007160D8">
      <w:pPr>
        <w:spacing w:before="1"/>
        <w:ind w:left="2880"/>
        <w:rPr>
          <w:sz w:val="24"/>
          <w:szCs w:val="24"/>
        </w:rPr>
      </w:pPr>
      <w:r>
        <w:rPr>
          <w:sz w:val="24"/>
        </w:rPr>
        <w:t>A.23-01-020 – SCE’s 2023 ERRA Trigger Application</w:t>
      </w:r>
    </w:p>
    <w:p w14:paraId="074B83EC" w14:textId="77777777" w:rsidR="007160D8" w:rsidRDefault="00A305E2" w:rsidP="007160D8">
      <w:pPr>
        <w:spacing w:before="18" w:line="256" w:lineRule="auto"/>
        <w:ind w:left="2880" w:right="1026"/>
        <w:rPr>
          <w:sz w:val="24"/>
        </w:rPr>
      </w:pPr>
      <w:r>
        <w:rPr>
          <w:sz w:val="24"/>
        </w:rPr>
        <w:t xml:space="preserve">P.O. Box 800 </w:t>
      </w:r>
    </w:p>
    <w:p w14:paraId="46D752F1" w14:textId="76ED43B6" w:rsidR="00A305E2" w:rsidRPr="0003373B" w:rsidRDefault="00A305E2" w:rsidP="007160D8">
      <w:pPr>
        <w:spacing w:before="18" w:line="256" w:lineRule="auto"/>
        <w:ind w:left="2880" w:right="1026"/>
        <w:rPr>
          <w:sz w:val="24"/>
          <w:szCs w:val="24"/>
        </w:rPr>
      </w:pPr>
      <w:r>
        <w:rPr>
          <w:sz w:val="24"/>
        </w:rPr>
        <w:t>Rosemead, CA 91770</w:t>
      </w:r>
    </w:p>
    <w:p w14:paraId="176A80C3" w14:textId="77777777" w:rsidR="00A305E2" w:rsidRPr="0003373B" w:rsidRDefault="00A305E2" w:rsidP="00A305E2">
      <w:pPr>
        <w:ind w:left="720"/>
        <w:rPr>
          <w:sz w:val="24"/>
          <w:szCs w:val="24"/>
        </w:rPr>
      </w:pPr>
    </w:p>
    <w:p w14:paraId="747D77CD" w14:textId="2A36B0A7" w:rsidR="00A305E2" w:rsidRPr="0003373B" w:rsidRDefault="00A305E2" w:rsidP="00954312">
      <w:pPr>
        <w:rPr>
          <w:sz w:val="24"/>
          <w:szCs w:val="24"/>
        </w:rPr>
      </w:pPr>
      <w:r>
        <w:t>También puede consultar una copia de la Solicitud y cualquier documento relacionado en</w:t>
      </w:r>
      <w:r>
        <w:rPr>
          <w:b/>
        </w:rPr>
        <w:t xml:space="preserve"> </w:t>
      </w:r>
      <w:hyperlink r:id="rId13">
        <w:r>
          <w:rPr>
            <w:rStyle w:val="Hyperlink"/>
            <w:b/>
            <w:sz w:val="24"/>
          </w:rPr>
          <w:t>www.sce.com/applications</w:t>
        </w:r>
      </w:hyperlink>
      <w:r>
        <w:rPr>
          <w:b/>
        </w:rPr>
        <w:t xml:space="preserve"> </w:t>
      </w:r>
      <w:r>
        <w:t>buscando el nombre de la solicitud o A.23-01-020.</w:t>
      </w:r>
      <w:r>
        <w:rPr>
          <w:sz w:val="24"/>
        </w:rPr>
        <w:t xml:space="preserve"> </w:t>
      </w:r>
    </w:p>
    <w:p w14:paraId="0C69E272" w14:textId="77777777" w:rsidR="00A305E2" w:rsidRPr="0003373B" w:rsidRDefault="00A305E2" w:rsidP="00A305E2">
      <w:pPr>
        <w:rPr>
          <w:b/>
          <w:bCs/>
          <w:sz w:val="24"/>
          <w:szCs w:val="24"/>
        </w:rPr>
      </w:pPr>
    </w:p>
    <w:p w14:paraId="5520E357" w14:textId="58CD9C34" w:rsidR="00A305E2" w:rsidRPr="00430DB8" w:rsidRDefault="00A305E2" w:rsidP="00FD049B">
      <w:pPr>
        <w:pStyle w:val="BodyText"/>
        <w:spacing w:before="1" w:line="259" w:lineRule="auto"/>
        <w:ind w:right="330"/>
        <w:rPr>
          <w:b/>
          <w:bCs/>
        </w:rPr>
      </w:pPr>
      <w:r>
        <w:rPr>
          <w:b/>
        </w:rPr>
        <w:t>Comuníquese con la CPUC:</w:t>
      </w:r>
    </w:p>
    <w:p w14:paraId="69BE55B9" w14:textId="22AA3F89" w:rsidR="00A305E2" w:rsidRPr="0003373B" w:rsidRDefault="00A305E2" w:rsidP="00A305E2">
      <w:pPr>
        <w:pStyle w:val="xmsonormal"/>
        <w:rPr>
          <w:rFonts w:ascii="Times New Roman" w:hAnsi="Times New Roman" w:cs="Times New Roman"/>
          <w:color w:val="000000"/>
          <w:sz w:val="24"/>
          <w:szCs w:val="24"/>
        </w:rPr>
      </w:pPr>
      <w:r>
        <w:rPr>
          <w:rFonts w:ascii="Times New Roman" w:hAnsi="Times New Roman"/>
          <w:color w:val="000000" w:themeColor="text1"/>
          <w:sz w:val="24"/>
        </w:rPr>
        <w:t xml:space="preserve">Visite </w:t>
      </w:r>
      <w:r>
        <w:rPr>
          <w:rFonts w:ascii="Times New Roman" w:hAnsi="Times New Roman"/>
          <w:b/>
          <w:color w:val="000000" w:themeColor="text1"/>
          <w:sz w:val="24"/>
        </w:rPr>
        <w:t>apps.cpuc.ca.gov/c/A2301020</w:t>
      </w:r>
      <w:r>
        <w:rPr>
          <w:rFonts w:ascii="Times New Roman" w:hAnsi="Times New Roman"/>
          <w:color w:val="000000" w:themeColor="text1"/>
          <w:sz w:val="24"/>
        </w:rPr>
        <w:t xml:space="preserve"> para presentar un comentario sobre este proceso en la ficha de expedientes (</w:t>
      </w:r>
      <w:r>
        <w:rPr>
          <w:rFonts w:ascii="Times New Roman" w:hAnsi="Times New Roman"/>
          <w:i/>
          <w:iCs/>
          <w:color w:val="000000" w:themeColor="text1"/>
          <w:sz w:val="24"/>
        </w:rPr>
        <w:t>Docket Card</w:t>
      </w:r>
      <w:r>
        <w:rPr>
          <w:rFonts w:ascii="Times New Roman" w:hAnsi="Times New Roman"/>
          <w:color w:val="000000" w:themeColor="text1"/>
          <w:sz w:val="24"/>
        </w:rPr>
        <w:t xml:space="preserve">) de la CPUC. Aquí también puede consultar otros documentos y comentarios públicos relacionados con este proceso. </w:t>
      </w:r>
    </w:p>
    <w:p w14:paraId="45EB813C" w14:textId="77777777" w:rsidR="00A305E2" w:rsidRPr="0003373B" w:rsidRDefault="00A305E2" w:rsidP="00A305E2">
      <w:pPr>
        <w:pStyle w:val="xmsonormal"/>
        <w:rPr>
          <w:rFonts w:ascii="Times New Roman" w:hAnsi="Times New Roman" w:cs="Times New Roman"/>
          <w:color w:val="000000"/>
          <w:sz w:val="24"/>
          <w:szCs w:val="24"/>
        </w:rPr>
      </w:pPr>
    </w:p>
    <w:p w14:paraId="76C9AB44" w14:textId="5C82CB2A" w:rsidR="00A305E2" w:rsidRPr="0003373B" w:rsidRDefault="00A305E2" w:rsidP="00A305E2">
      <w:pPr>
        <w:pStyle w:val="xmsonormal"/>
        <w:rPr>
          <w:rFonts w:ascii="Times New Roman" w:hAnsi="Times New Roman" w:cs="Times New Roman"/>
          <w:color w:val="000000"/>
          <w:sz w:val="24"/>
          <w:szCs w:val="24"/>
        </w:rPr>
      </w:pPr>
      <w:r>
        <w:rPr>
          <w:rFonts w:ascii="Times New Roman" w:hAnsi="Times New Roman"/>
          <w:color w:val="000000"/>
          <w:sz w:val="24"/>
        </w:rPr>
        <w:t>Su participación al presentar sus opiniones sobre la solicitud de SCE puede ayudar a la CPUC a tomar una decisión informada.</w:t>
      </w:r>
    </w:p>
    <w:p w14:paraId="31BC530E" w14:textId="77777777" w:rsidR="00A305E2" w:rsidRPr="0003373B" w:rsidRDefault="00A305E2" w:rsidP="00A305E2">
      <w:pPr>
        <w:pStyle w:val="xmsonormal"/>
        <w:rPr>
          <w:rFonts w:ascii="Times New Roman" w:hAnsi="Times New Roman" w:cs="Times New Roman"/>
          <w:color w:val="000000"/>
          <w:sz w:val="24"/>
          <w:szCs w:val="24"/>
        </w:rPr>
      </w:pPr>
    </w:p>
    <w:p w14:paraId="20CB0399" w14:textId="1F1ED351" w:rsidR="00A305E2" w:rsidRPr="0003373B" w:rsidRDefault="00A305E2" w:rsidP="00A305E2">
      <w:pPr>
        <w:rPr>
          <w:sz w:val="24"/>
          <w:szCs w:val="24"/>
        </w:rPr>
      </w:pPr>
      <w:r>
        <w:rPr>
          <w:sz w:val="24"/>
        </w:rPr>
        <w:t>Si tiene preguntas acerca de los procesos de la CPUC, puede comunicarse con la Oficina del Consejero Público (</w:t>
      </w:r>
      <w:r>
        <w:rPr>
          <w:i/>
          <w:iCs/>
          <w:sz w:val="24"/>
        </w:rPr>
        <w:t>Public Advisor’s Office</w:t>
      </w:r>
      <w:r>
        <w:rPr>
          <w:sz w:val="24"/>
        </w:rPr>
        <w:t>) de la CPUC en:</w:t>
      </w:r>
    </w:p>
    <w:p w14:paraId="2755D14F" w14:textId="1CF354C5" w:rsidR="00A305E2" w:rsidRPr="0003373B" w:rsidRDefault="00A305E2" w:rsidP="00A305E2">
      <w:pPr>
        <w:ind w:left="720"/>
        <w:rPr>
          <w:sz w:val="24"/>
          <w:szCs w:val="24"/>
        </w:rPr>
      </w:pPr>
      <w:r>
        <w:rPr>
          <w:sz w:val="24"/>
        </w:rPr>
        <w:t xml:space="preserve">Teléfono: </w:t>
      </w:r>
      <w:r w:rsidR="007163A1">
        <w:rPr>
          <w:sz w:val="24"/>
        </w:rPr>
        <w:tab/>
      </w:r>
      <w:r w:rsidR="007163A1">
        <w:rPr>
          <w:sz w:val="24"/>
        </w:rPr>
        <w:tab/>
      </w:r>
      <w:r>
        <w:rPr>
          <w:b/>
          <w:sz w:val="24"/>
        </w:rPr>
        <w:t xml:space="preserve">1-866-849-8390 </w:t>
      </w:r>
      <w:r>
        <w:rPr>
          <w:sz w:val="24"/>
        </w:rPr>
        <w:t xml:space="preserve">(gratuito) o </w:t>
      </w:r>
      <w:r>
        <w:rPr>
          <w:b/>
          <w:sz w:val="24"/>
        </w:rPr>
        <w:t>1-415-703-2074</w:t>
      </w:r>
    </w:p>
    <w:p w14:paraId="224B9D8A" w14:textId="77777777" w:rsidR="00A305E2" w:rsidRPr="0003373B" w:rsidRDefault="00A305E2" w:rsidP="00A305E2">
      <w:pPr>
        <w:ind w:left="720"/>
        <w:rPr>
          <w:sz w:val="24"/>
          <w:szCs w:val="24"/>
        </w:rPr>
      </w:pPr>
      <w:r>
        <w:rPr>
          <w:sz w:val="24"/>
        </w:rPr>
        <w:t>Correo electrónico:</w:t>
      </w:r>
      <w:r>
        <w:rPr>
          <w:sz w:val="24"/>
        </w:rPr>
        <w:tab/>
        <w:t>Public.Advisor@cpuc.ca.gov</w:t>
      </w:r>
      <w:r>
        <w:rPr>
          <w:b/>
          <w:sz w:val="24"/>
        </w:rPr>
        <w:t xml:space="preserve"> </w:t>
      </w:r>
    </w:p>
    <w:p w14:paraId="49E788CE" w14:textId="3E07BE77" w:rsidR="00A305E2" w:rsidRPr="0003373B" w:rsidRDefault="00A305E2" w:rsidP="00A305E2">
      <w:pPr>
        <w:ind w:left="720"/>
        <w:rPr>
          <w:sz w:val="24"/>
          <w:szCs w:val="24"/>
        </w:rPr>
      </w:pPr>
      <w:r>
        <w:rPr>
          <w:sz w:val="24"/>
        </w:rPr>
        <w:t xml:space="preserve">Correo: </w:t>
      </w:r>
      <w:r>
        <w:rPr>
          <w:sz w:val="24"/>
        </w:rPr>
        <w:tab/>
      </w:r>
      <w:r w:rsidR="007163A1">
        <w:rPr>
          <w:sz w:val="24"/>
        </w:rPr>
        <w:tab/>
      </w:r>
      <w:r>
        <w:rPr>
          <w:sz w:val="24"/>
        </w:rPr>
        <w:t>CPUC Public Advisor’s Office</w:t>
      </w:r>
    </w:p>
    <w:p w14:paraId="52782039" w14:textId="77777777" w:rsidR="00A305E2" w:rsidRPr="0003373B" w:rsidRDefault="00A305E2" w:rsidP="007163A1">
      <w:pPr>
        <w:ind w:left="2160" w:firstLine="720"/>
        <w:rPr>
          <w:sz w:val="24"/>
          <w:szCs w:val="24"/>
        </w:rPr>
      </w:pPr>
      <w:r>
        <w:rPr>
          <w:sz w:val="24"/>
        </w:rPr>
        <w:t>505 Van Ness Avenue</w:t>
      </w:r>
    </w:p>
    <w:p w14:paraId="65791F4B" w14:textId="77777777" w:rsidR="00A305E2" w:rsidRPr="0003373B" w:rsidRDefault="00A305E2" w:rsidP="007163A1">
      <w:pPr>
        <w:ind w:left="2160" w:firstLine="720"/>
        <w:rPr>
          <w:sz w:val="24"/>
          <w:szCs w:val="24"/>
        </w:rPr>
      </w:pPr>
      <w:r>
        <w:rPr>
          <w:sz w:val="24"/>
        </w:rPr>
        <w:t>San Francisco, CA 94102</w:t>
      </w:r>
    </w:p>
    <w:p w14:paraId="72B2725C" w14:textId="77777777" w:rsidR="00A305E2" w:rsidRPr="0003373B" w:rsidRDefault="00A305E2" w:rsidP="00A305E2">
      <w:pPr>
        <w:rPr>
          <w:rFonts w:eastAsia="Calibri"/>
          <w:sz w:val="24"/>
          <w:szCs w:val="24"/>
        </w:rPr>
      </w:pPr>
    </w:p>
    <w:p w14:paraId="2428D061" w14:textId="51AB3F6F" w:rsidR="00DD5FDC" w:rsidRPr="00936F0A" w:rsidRDefault="00A305E2" w:rsidP="00DD5FDC">
      <w:pPr>
        <w:rPr>
          <w:rFonts w:eastAsia="Calibri"/>
        </w:rPr>
      </w:pPr>
      <w:r>
        <w:rPr>
          <w:sz w:val="24"/>
        </w:rPr>
        <w:t xml:space="preserve">En todas sus comunicaciones con la CPUC relativas a este tema, asegúrese de indicar que se tratan de “ERRA Trigger </w:t>
      </w:r>
      <w:r>
        <w:rPr>
          <w:b/>
          <w:sz w:val="24"/>
        </w:rPr>
        <w:t>Application 23-01-020</w:t>
      </w:r>
      <w:r>
        <w:rPr>
          <w:sz w:val="24"/>
        </w:rPr>
        <w:t>”.</w:t>
      </w:r>
    </w:p>
    <w:p w14:paraId="45E78ADF" w14:textId="60D65D1A" w:rsidR="00A305E2" w:rsidRPr="00936F0A" w:rsidRDefault="00A305E2" w:rsidP="00A305E2">
      <w:pPr>
        <w:rPr>
          <w:rFonts w:eastAsia="Calibri"/>
        </w:rPr>
      </w:pPr>
    </w:p>
    <w:sectPr w:rsidR="00A305E2" w:rsidRPr="00936F0A" w:rsidSect="000A2DA4">
      <w:pgSz w:w="12240" w:h="15840"/>
      <w:pgMar w:top="576" w:right="1339" w:bottom="576"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4B13"/>
    <w:multiLevelType w:val="hybridMultilevel"/>
    <w:tmpl w:val="A8BE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5E07BE"/>
    <w:multiLevelType w:val="hybridMultilevel"/>
    <w:tmpl w:val="44EA2848"/>
    <w:lvl w:ilvl="0" w:tplc="C2888C04">
      <w:start w:val="1"/>
      <w:numFmt w:val="decimal"/>
      <w:lvlText w:val="(%1)"/>
      <w:lvlJc w:val="left"/>
      <w:pPr>
        <w:ind w:left="840" w:hanging="339"/>
      </w:pPr>
      <w:rPr>
        <w:rFonts w:ascii="Times New Roman" w:eastAsia="Times New Roman" w:hAnsi="Times New Roman" w:cs="Times New Roman" w:hint="default"/>
        <w:spacing w:val="-1"/>
        <w:w w:val="100"/>
        <w:sz w:val="24"/>
        <w:szCs w:val="24"/>
      </w:rPr>
    </w:lvl>
    <w:lvl w:ilvl="1" w:tplc="0DF857D2">
      <w:numFmt w:val="bullet"/>
      <w:lvlText w:val="•"/>
      <w:lvlJc w:val="left"/>
      <w:pPr>
        <w:ind w:left="1714" w:hanging="339"/>
      </w:pPr>
      <w:rPr>
        <w:rFonts w:hint="default"/>
      </w:rPr>
    </w:lvl>
    <w:lvl w:ilvl="2" w:tplc="A6ACB8BE">
      <w:numFmt w:val="bullet"/>
      <w:lvlText w:val="•"/>
      <w:lvlJc w:val="left"/>
      <w:pPr>
        <w:ind w:left="2588" w:hanging="339"/>
      </w:pPr>
      <w:rPr>
        <w:rFonts w:hint="default"/>
      </w:rPr>
    </w:lvl>
    <w:lvl w:ilvl="3" w:tplc="CA4E8728">
      <w:numFmt w:val="bullet"/>
      <w:lvlText w:val="•"/>
      <w:lvlJc w:val="left"/>
      <w:pPr>
        <w:ind w:left="3462" w:hanging="339"/>
      </w:pPr>
      <w:rPr>
        <w:rFonts w:hint="default"/>
      </w:rPr>
    </w:lvl>
    <w:lvl w:ilvl="4" w:tplc="9F005366">
      <w:numFmt w:val="bullet"/>
      <w:lvlText w:val="•"/>
      <w:lvlJc w:val="left"/>
      <w:pPr>
        <w:ind w:left="4336" w:hanging="339"/>
      </w:pPr>
      <w:rPr>
        <w:rFonts w:hint="default"/>
      </w:rPr>
    </w:lvl>
    <w:lvl w:ilvl="5" w:tplc="F176EDDA">
      <w:numFmt w:val="bullet"/>
      <w:lvlText w:val="•"/>
      <w:lvlJc w:val="left"/>
      <w:pPr>
        <w:ind w:left="5210" w:hanging="339"/>
      </w:pPr>
      <w:rPr>
        <w:rFonts w:hint="default"/>
      </w:rPr>
    </w:lvl>
    <w:lvl w:ilvl="6" w:tplc="607E2E12">
      <w:numFmt w:val="bullet"/>
      <w:lvlText w:val="•"/>
      <w:lvlJc w:val="left"/>
      <w:pPr>
        <w:ind w:left="6084" w:hanging="339"/>
      </w:pPr>
      <w:rPr>
        <w:rFonts w:hint="default"/>
      </w:rPr>
    </w:lvl>
    <w:lvl w:ilvl="7" w:tplc="D070160C">
      <w:numFmt w:val="bullet"/>
      <w:lvlText w:val="•"/>
      <w:lvlJc w:val="left"/>
      <w:pPr>
        <w:ind w:left="6958" w:hanging="339"/>
      </w:pPr>
      <w:rPr>
        <w:rFonts w:hint="default"/>
      </w:rPr>
    </w:lvl>
    <w:lvl w:ilvl="8" w:tplc="0FE2A2BE">
      <w:numFmt w:val="bullet"/>
      <w:lvlText w:val="•"/>
      <w:lvlJc w:val="left"/>
      <w:pPr>
        <w:ind w:left="7832" w:hanging="339"/>
      </w:pPr>
      <w:rPr>
        <w:rFonts w:hint="default"/>
      </w:rPr>
    </w:lvl>
  </w:abstractNum>
  <w:abstractNum w:abstractNumId="2" w15:restartNumberingAfterBreak="0">
    <w:nsid w:val="67736590"/>
    <w:multiLevelType w:val="hybridMultilevel"/>
    <w:tmpl w:val="0BECCD9A"/>
    <w:lvl w:ilvl="0" w:tplc="331E949A">
      <w:numFmt w:val="bullet"/>
      <w:lvlText w:val=""/>
      <w:lvlJc w:val="left"/>
      <w:pPr>
        <w:ind w:left="840" w:hanging="360"/>
      </w:pPr>
      <w:rPr>
        <w:rFonts w:ascii="Symbol" w:eastAsia="Symbol" w:hAnsi="Symbol" w:cs="Symbol" w:hint="default"/>
        <w:w w:val="100"/>
        <w:sz w:val="24"/>
        <w:szCs w:val="24"/>
      </w:rPr>
    </w:lvl>
    <w:lvl w:ilvl="1" w:tplc="4EA2F168">
      <w:numFmt w:val="bullet"/>
      <w:lvlText w:val="•"/>
      <w:lvlJc w:val="left"/>
      <w:pPr>
        <w:ind w:left="1714" w:hanging="360"/>
      </w:pPr>
      <w:rPr>
        <w:rFonts w:hint="default"/>
      </w:rPr>
    </w:lvl>
    <w:lvl w:ilvl="2" w:tplc="CBE833C8">
      <w:numFmt w:val="bullet"/>
      <w:lvlText w:val="•"/>
      <w:lvlJc w:val="left"/>
      <w:pPr>
        <w:ind w:left="2588" w:hanging="360"/>
      </w:pPr>
      <w:rPr>
        <w:rFonts w:hint="default"/>
      </w:rPr>
    </w:lvl>
    <w:lvl w:ilvl="3" w:tplc="0E703742">
      <w:numFmt w:val="bullet"/>
      <w:lvlText w:val="•"/>
      <w:lvlJc w:val="left"/>
      <w:pPr>
        <w:ind w:left="3462" w:hanging="360"/>
      </w:pPr>
      <w:rPr>
        <w:rFonts w:hint="default"/>
      </w:rPr>
    </w:lvl>
    <w:lvl w:ilvl="4" w:tplc="49FA84E2">
      <w:numFmt w:val="bullet"/>
      <w:lvlText w:val="•"/>
      <w:lvlJc w:val="left"/>
      <w:pPr>
        <w:ind w:left="4336" w:hanging="360"/>
      </w:pPr>
      <w:rPr>
        <w:rFonts w:hint="default"/>
      </w:rPr>
    </w:lvl>
    <w:lvl w:ilvl="5" w:tplc="7428BF6E">
      <w:numFmt w:val="bullet"/>
      <w:lvlText w:val="•"/>
      <w:lvlJc w:val="left"/>
      <w:pPr>
        <w:ind w:left="5210" w:hanging="360"/>
      </w:pPr>
      <w:rPr>
        <w:rFonts w:hint="default"/>
      </w:rPr>
    </w:lvl>
    <w:lvl w:ilvl="6" w:tplc="917E319A">
      <w:numFmt w:val="bullet"/>
      <w:lvlText w:val="•"/>
      <w:lvlJc w:val="left"/>
      <w:pPr>
        <w:ind w:left="6084" w:hanging="360"/>
      </w:pPr>
      <w:rPr>
        <w:rFonts w:hint="default"/>
      </w:rPr>
    </w:lvl>
    <w:lvl w:ilvl="7" w:tplc="6C8CBAA4">
      <w:numFmt w:val="bullet"/>
      <w:lvlText w:val="•"/>
      <w:lvlJc w:val="left"/>
      <w:pPr>
        <w:ind w:left="6958" w:hanging="360"/>
      </w:pPr>
      <w:rPr>
        <w:rFonts w:hint="default"/>
      </w:rPr>
    </w:lvl>
    <w:lvl w:ilvl="8" w:tplc="B78E3046">
      <w:numFmt w:val="bullet"/>
      <w:lvlText w:val="•"/>
      <w:lvlJc w:val="left"/>
      <w:pPr>
        <w:ind w:left="7832" w:hanging="360"/>
      </w:pPr>
      <w:rPr>
        <w:rFonts w:hint="default"/>
      </w:rPr>
    </w:lvl>
  </w:abstractNum>
  <w:num w:numId="1" w16cid:durableId="2103525110">
    <w:abstractNumId w:val="2"/>
  </w:num>
  <w:num w:numId="2" w16cid:durableId="593174192">
    <w:abstractNumId w:val="1"/>
  </w:num>
  <w:num w:numId="3" w16cid:durableId="15807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0"/>
    <w:rsid w:val="0000006F"/>
    <w:rsid w:val="0000159D"/>
    <w:rsid w:val="0002440D"/>
    <w:rsid w:val="00025E3F"/>
    <w:rsid w:val="00032683"/>
    <w:rsid w:val="0003373B"/>
    <w:rsid w:val="00035746"/>
    <w:rsid w:val="0003659E"/>
    <w:rsid w:val="00040265"/>
    <w:rsid w:val="000433E6"/>
    <w:rsid w:val="0004423C"/>
    <w:rsid w:val="0005269D"/>
    <w:rsid w:val="000560D2"/>
    <w:rsid w:val="00065625"/>
    <w:rsid w:val="00066B96"/>
    <w:rsid w:val="00066C75"/>
    <w:rsid w:val="00071AD4"/>
    <w:rsid w:val="00076F7A"/>
    <w:rsid w:val="00082E91"/>
    <w:rsid w:val="00086CAB"/>
    <w:rsid w:val="000900CC"/>
    <w:rsid w:val="00096DB5"/>
    <w:rsid w:val="000A1390"/>
    <w:rsid w:val="000A2CA4"/>
    <w:rsid w:val="000A2DA4"/>
    <w:rsid w:val="000A3572"/>
    <w:rsid w:val="000A4AC9"/>
    <w:rsid w:val="000B0BF6"/>
    <w:rsid w:val="000C741D"/>
    <w:rsid w:val="000D34DA"/>
    <w:rsid w:val="000E2C05"/>
    <w:rsid w:val="000E79E8"/>
    <w:rsid w:val="0013421D"/>
    <w:rsid w:val="00136541"/>
    <w:rsid w:val="0014653D"/>
    <w:rsid w:val="001468D5"/>
    <w:rsid w:val="0015316C"/>
    <w:rsid w:val="0016293E"/>
    <w:rsid w:val="001803CC"/>
    <w:rsid w:val="00187052"/>
    <w:rsid w:val="00187DD4"/>
    <w:rsid w:val="0019086F"/>
    <w:rsid w:val="00192F4A"/>
    <w:rsid w:val="00196A89"/>
    <w:rsid w:val="001A65C6"/>
    <w:rsid w:val="001A6902"/>
    <w:rsid w:val="001C5661"/>
    <w:rsid w:val="001C7AE7"/>
    <w:rsid w:val="001D1691"/>
    <w:rsid w:val="001D781C"/>
    <w:rsid w:val="001E74BA"/>
    <w:rsid w:val="001F01C6"/>
    <w:rsid w:val="001F5399"/>
    <w:rsid w:val="00202E89"/>
    <w:rsid w:val="0020587C"/>
    <w:rsid w:val="00206965"/>
    <w:rsid w:val="00211D15"/>
    <w:rsid w:val="00217B0C"/>
    <w:rsid w:val="002203F4"/>
    <w:rsid w:val="00230F5F"/>
    <w:rsid w:val="0023162D"/>
    <w:rsid w:val="00232786"/>
    <w:rsid w:val="00240E31"/>
    <w:rsid w:val="0025164C"/>
    <w:rsid w:val="00252B56"/>
    <w:rsid w:val="00261A6E"/>
    <w:rsid w:val="00272F18"/>
    <w:rsid w:val="002779AA"/>
    <w:rsid w:val="00282232"/>
    <w:rsid w:val="00287887"/>
    <w:rsid w:val="002B38F5"/>
    <w:rsid w:val="002B467D"/>
    <w:rsid w:val="002B6511"/>
    <w:rsid w:val="002B7E2F"/>
    <w:rsid w:val="002D2A98"/>
    <w:rsid w:val="002D37D2"/>
    <w:rsid w:val="002D56BA"/>
    <w:rsid w:val="002D6B53"/>
    <w:rsid w:val="002E6C6E"/>
    <w:rsid w:val="002E7E26"/>
    <w:rsid w:val="00300193"/>
    <w:rsid w:val="00306A76"/>
    <w:rsid w:val="003127C6"/>
    <w:rsid w:val="00313623"/>
    <w:rsid w:val="00316C8C"/>
    <w:rsid w:val="00335C73"/>
    <w:rsid w:val="00337388"/>
    <w:rsid w:val="003512D9"/>
    <w:rsid w:val="0035566E"/>
    <w:rsid w:val="00365310"/>
    <w:rsid w:val="00382F76"/>
    <w:rsid w:val="0039000F"/>
    <w:rsid w:val="003A0060"/>
    <w:rsid w:val="003A10D9"/>
    <w:rsid w:val="003B6F6E"/>
    <w:rsid w:val="003C26C6"/>
    <w:rsid w:val="003C4F24"/>
    <w:rsid w:val="003C518A"/>
    <w:rsid w:val="003D0145"/>
    <w:rsid w:val="003D2F56"/>
    <w:rsid w:val="003E31D4"/>
    <w:rsid w:val="003E6DAC"/>
    <w:rsid w:val="003F1744"/>
    <w:rsid w:val="003F6810"/>
    <w:rsid w:val="004003EC"/>
    <w:rsid w:val="0041209E"/>
    <w:rsid w:val="0041797B"/>
    <w:rsid w:val="00430DB8"/>
    <w:rsid w:val="00440069"/>
    <w:rsid w:val="0044369E"/>
    <w:rsid w:val="004437F0"/>
    <w:rsid w:val="00452F43"/>
    <w:rsid w:val="00462767"/>
    <w:rsid w:val="0047720C"/>
    <w:rsid w:val="004811F4"/>
    <w:rsid w:val="00482345"/>
    <w:rsid w:val="00487F3B"/>
    <w:rsid w:val="0049121E"/>
    <w:rsid w:val="0049302C"/>
    <w:rsid w:val="004952F6"/>
    <w:rsid w:val="004B00B7"/>
    <w:rsid w:val="004C788E"/>
    <w:rsid w:val="004D471D"/>
    <w:rsid w:val="004D6BBA"/>
    <w:rsid w:val="004F22C9"/>
    <w:rsid w:val="004F3966"/>
    <w:rsid w:val="004F6A81"/>
    <w:rsid w:val="00515A53"/>
    <w:rsid w:val="00516A27"/>
    <w:rsid w:val="00524F31"/>
    <w:rsid w:val="0053128F"/>
    <w:rsid w:val="005330DB"/>
    <w:rsid w:val="00533FF6"/>
    <w:rsid w:val="005346D2"/>
    <w:rsid w:val="005417D0"/>
    <w:rsid w:val="00550413"/>
    <w:rsid w:val="0055483A"/>
    <w:rsid w:val="00562663"/>
    <w:rsid w:val="00567445"/>
    <w:rsid w:val="0057064B"/>
    <w:rsid w:val="00571508"/>
    <w:rsid w:val="00572D0C"/>
    <w:rsid w:val="00573BEE"/>
    <w:rsid w:val="005805E4"/>
    <w:rsid w:val="005846F8"/>
    <w:rsid w:val="00596034"/>
    <w:rsid w:val="005976CF"/>
    <w:rsid w:val="005B266E"/>
    <w:rsid w:val="005C3FEC"/>
    <w:rsid w:val="005C7CB2"/>
    <w:rsid w:val="005D7286"/>
    <w:rsid w:val="005D76FC"/>
    <w:rsid w:val="005E2EB3"/>
    <w:rsid w:val="005E4B40"/>
    <w:rsid w:val="005F337F"/>
    <w:rsid w:val="00601E92"/>
    <w:rsid w:val="0061478B"/>
    <w:rsid w:val="006171E9"/>
    <w:rsid w:val="00624675"/>
    <w:rsid w:val="006246C3"/>
    <w:rsid w:val="00637456"/>
    <w:rsid w:val="006417AC"/>
    <w:rsid w:val="00642A0E"/>
    <w:rsid w:val="00652B9F"/>
    <w:rsid w:val="00662E68"/>
    <w:rsid w:val="00664962"/>
    <w:rsid w:val="00673E1D"/>
    <w:rsid w:val="006852A0"/>
    <w:rsid w:val="0068700F"/>
    <w:rsid w:val="0069101C"/>
    <w:rsid w:val="00695146"/>
    <w:rsid w:val="00695F2B"/>
    <w:rsid w:val="006B47D6"/>
    <w:rsid w:val="006B6F74"/>
    <w:rsid w:val="006C16E1"/>
    <w:rsid w:val="006C19E1"/>
    <w:rsid w:val="006C4000"/>
    <w:rsid w:val="006D7BAE"/>
    <w:rsid w:val="006E0C36"/>
    <w:rsid w:val="006E5305"/>
    <w:rsid w:val="006F0552"/>
    <w:rsid w:val="006F6C16"/>
    <w:rsid w:val="006F6F51"/>
    <w:rsid w:val="007058B8"/>
    <w:rsid w:val="007129A9"/>
    <w:rsid w:val="007160D8"/>
    <w:rsid w:val="007163A1"/>
    <w:rsid w:val="007168FC"/>
    <w:rsid w:val="00726541"/>
    <w:rsid w:val="00731DB5"/>
    <w:rsid w:val="00733DFF"/>
    <w:rsid w:val="00735DAF"/>
    <w:rsid w:val="00744F85"/>
    <w:rsid w:val="00747455"/>
    <w:rsid w:val="00747882"/>
    <w:rsid w:val="00750D64"/>
    <w:rsid w:val="00754758"/>
    <w:rsid w:val="00764491"/>
    <w:rsid w:val="00767DB4"/>
    <w:rsid w:val="00775A80"/>
    <w:rsid w:val="0078602B"/>
    <w:rsid w:val="00786BCA"/>
    <w:rsid w:val="00787FBB"/>
    <w:rsid w:val="00790D80"/>
    <w:rsid w:val="007A54AF"/>
    <w:rsid w:val="007B5C2B"/>
    <w:rsid w:val="007B64DC"/>
    <w:rsid w:val="007C6771"/>
    <w:rsid w:val="007D1CF8"/>
    <w:rsid w:val="007E7217"/>
    <w:rsid w:val="007F2654"/>
    <w:rsid w:val="007F3022"/>
    <w:rsid w:val="007F36FC"/>
    <w:rsid w:val="007F67CE"/>
    <w:rsid w:val="00807F57"/>
    <w:rsid w:val="00814138"/>
    <w:rsid w:val="008232A1"/>
    <w:rsid w:val="008534E5"/>
    <w:rsid w:val="00861723"/>
    <w:rsid w:val="008625D6"/>
    <w:rsid w:val="00873136"/>
    <w:rsid w:val="00873DB7"/>
    <w:rsid w:val="0089500D"/>
    <w:rsid w:val="008958CC"/>
    <w:rsid w:val="008A0A8C"/>
    <w:rsid w:val="008A2E8C"/>
    <w:rsid w:val="008A3ECF"/>
    <w:rsid w:val="008B3922"/>
    <w:rsid w:val="008B6096"/>
    <w:rsid w:val="008C191C"/>
    <w:rsid w:val="008C2387"/>
    <w:rsid w:val="008D102B"/>
    <w:rsid w:val="008D2A6C"/>
    <w:rsid w:val="008D6381"/>
    <w:rsid w:val="008D72A8"/>
    <w:rsid w:val="008E349B"/>
    <w:rsid w:val="008E63D1"/>
    <w:rsid w:val="008E7969"/>
    <w:rsid w:val="008F12C1"/>
    <w:rsid w:val="008F16A8"/>
    <w:rsid w:val="00933B39"/>
    <w:rsid w:val="00936F0A"/>
    <w:rsid w:val="0094500C"/>
    <w:rsid w:val="00954312"/>
    <w:rsid w:val="00954E6C"/>
    <w:rsid w:val="009576C9"/>
    <w:rsid w:val="0096299D"/>
    <w:rsid w:val="00974AF6"/>
    <w:rsid w:val="00980771"/>
    <w:rsid w:val="00982E64"/>
    <w:rsid w:val="00984067"/>
    <w:rsid w:val="009860CB"/>
    <w:rsid w:val="00986D54"/>
    <w:rsid w:val="009A0DBC"/>
    <w:rsid w:val="009A53B5"/>
    <w:rsid w:val="009B1C9A"/>
    <w:rsid w:val="009C22BD"/>
    <w:rsid w:val="009C7382"/>
    <w:rsid w:val="009D4F51"/>
    <w:rsid w:val="009E5762"/>
    <w:rsid w:val="009F1847"/>
    <w:rsid w:val="009F2BD0"/>
    <w:rsid w:val="009F7D4C"/>
    <w:rsid w:val="00A00185"/>
    <w:rsid w:val="00A07DD7"/>
    <w:rsid w:val="00A2324B"/>
    <w:rsid w:val="00A239B3"/>
    <w:rsid w:val="00A2503A"/>
    <w:rsid w:val="00A305E2"/>
    <w:rsid w:val="00A325E3"/>
    <w:rsid w:val="00A3431E"/>
    <w:rsid w:val="00A47018"/>
    <w:rsid w:val="00A52CC8"/>
    <w:rsid w:val="00A63333"/>
    <w:rsid w:val="00A662D4"/>
    <w:rsid w:val="00A72028"/>
    <w:rsid w:val="00A74366"/>
    <w:rsid w:val="00A743C4"/>
    <w:rsid w:val="00A7447E"/>
    <w:rsid w:val="00A76D5E"/>
    <w:rsid w:val="00A7786D"/>
    <w:rsid w:val="00A87721"/>
    <w:rsid w:val="00AA0DEA"/>
    <w:rsid w:val="00AA4873"/>
    <w:rsid w:val="00AA531E"/>
    <w:rsid w:val="00AA6640"/>
    <w:rsid w:val="00AA6A44"/>
    <w:rsid w:val="00AB40D7"/>
    <w:rsid w:val="00AC0FBD"/>
    <w:rsid w:val="00AC6FEF"/>
    <w:rsid w:val="00AD3913"/>
    <w:rsid w:val="00AF121B"/>
    <w:rsid w:val="00AF1664"/>
    <w:rsid w:val="00AF6F29"/>
    <w:rsid w:val="00B027CD"/>
    <w:rsid w:val="00B1344F"/>
    <w:rsid w:val="00B27AC8"/>
    <w:rsid w:val="00B344F3"/>
    <w:rsid w:val="00B35EAC"/>
    <w:rsid w:val="00B36E5E"/>
    <w:rsid w:val="00B4103E"/>
    <w:rsid w:val="00B44480"/>
    <w:rsid w:val="00B64C24"/>
    <w:rsid w:val="00B80DFB"/>
    <w:rsid w:val="00B85018"/>
    <w:rsid w:val="00B90697"/>
    <w:rsid w:val="00BA3DB5"/>
    <w:rsid w:val="00BA4CB9"/>
    <w:rsid w:val="00BA6A22"/>
    <w:rsid w:val="00BC08EB"/>
    <w:rsid w:val="00BC71CC"/>
    <w:rsid w:val="00BD33E2"/>
    <w:rsid w:val="00BE6460"/>
    <w:rsid w:val="00BF4C70"/>
    <w:rsid w:val="00C0009F"/>
    <w:rsid w:val="00C049B4"/>
    <w:rsid w:val="00C0612F"/>
    <w:rsid w:val="00C07EFB"/>
    <w:rsid w:val="00C12386"/>
    <w:rsid w:val="00C145A0"/>
    <w:rsid w:val="00C217AB"/>
    <w:rsid w:val="00C231E3"/>
    <w:rsid w:val="00C27AE4"/>
    <w:rsid w:val="00C34681"/>
    <w:rsid w:val="00C43DDD"/>
    <w:rsid w:val="00C516B5"/>
    <w:rsid w:val="00C5447E"/>
    <w:rsid w:val="00C56910"/>
    <w:rsid w:val="00C603A3"/>
    <w:rsid w:val="00C60C3B"/>
    <w:rsid w:val="00C61DBC"/>
    <w:rsid w:val="00C63E7F"/>
    <w:rsid w:val="00C77D24"/>
    <w:rsid w:val="00C829EB"/>
    <w:rsid w:val="00CA1355"/>
    <w:rsid w:val="00CB3216"/>
    <w:rsid w:val="00CB3219"/>
    <w:rsid w:val="00CC2A76"/>
    <w:rsid w:val="00CC4E84"/>
    <w:rsid w:val="00CD511E"/>
    <w:rsid w:val="00CD65D2"/>
    <w:rsid w:val="00CD6E18"/>
    <w:rsid w:val="00CE19B6"/>
    <w:rsid w:val="00CE2824"/>
    <w:rsid w:val="00CE29B8"/>
    <w:rsid w:val="00CE5084"/>
    <w:rsid w:val="00CE6182"/>
    <w:rsid w:val="00CF6581"/>
    <w:rsid w:val="00CF6C47"/>
    <w:rsid w:val="00D13D89"/>
    <w:rsid w:val="00D31873"/>
    <w:rsid w:val="00D43ADB"/>
    <w:rsid w:val="00D56FD1"/>
    <w:rsid w:val="00D624A0"/>
    <w:rsid w:val="00D9691E"/>
    <w:rsid w:val="00DB17EB"/>
    <w:rsid w:val="00DB1A87"/>
    <w:rsid w:val="00DB7512"/>
    <w:rsid w:val="00DC2BAE"/>
    <w:rsid w:val="00DD4242"/>
    <w:rsid w:val="00DD5FDC"/>
    <w:rsid w:val="00DE23BD"/>
    <w:rsid w:val="00DE2B3F"/>
    <w:rsid w:val="00DF025F"/>
    <w:rsid w:val="00DF7586"/>
    <w:rsid w:val="00DF7674"/>
    <w:rsid w:val="00E06BAF"/>
    <w:rsid w:val="00E14403"/>
    <w:rsid w:val="00E14EA9"/>
    <w:rsid w:val="00E16B0D"/>
    <w:rsid w:val="00E20307"/>
    <w:rsid w:val="00E20644"/>
    <w:rsid w:val="00E23DAD"/>
    <w:rsid w:val="00E26322"/>
    <w:rsid w:val="00E26553"/>
    <w:rsid w:val="00E2658D"/>
    <w:rsid w:val="00E27DED"/>
    <w:rsid w:val="00E30806"/>
    <w:rsid w:val="00E32930"/>
    <w:rsid w:val="00E35800"/>
    <w:rsid w:val="00E45544"/>
    <w:rsid w:val="00E70944"/>
    <w:rsid w:val="00E7363F"/>
    <w:rsid w:val="00E737A8"/>
    <w:rsid w:val="00E74184"/>
    <w:rsid w:val="00E821AA"/>
    <w:rsid w:val="00E83036"/>
    <w:rsid w:val="00E86C35"/>
    <w:rsid w:val="00E874D1"/>
    <w:rsid w:val="00E908F5"/>
    <w:rsid w:val="00E9146E"/>
    <w:rsid w:val="00E9554C"/>
    <w:rsid w:val="00EB0F7C"/>
    <w:rsid w:val="00EB1381"/>
    <w:rsid w:val="00EB7863"/>
    <w:rsid w:val="00EC456F"/>
    <w:rsid w:val="00EC65A4"/>
    <w:rsid w:val="00EC7BC5"/>
    <w:rsid w:val="00ED5FF3"/>
    <w:rsid w:val="00ED6089"/>
    <w:rsid w:val="00EE20E6"/>
    <w:rsid w:val="00EE464E"/>
    <w:rsid w:val="00EE56CF"/>
    <w:rsid w:val="00EE5793"/>
    <w:rsid w:val="00EE7909"/>
    <w:rsid w:val="00EF2E32"/>
    <w:rsid w:val="00EF39B3"/>
    <w:rsid w:val="00F13341"/>
    <w:rsid w:val="00F26CC9"/>
    <w:rsid w:val="00F36145"/>
    <w:rsid w:val="00F36429"/>
    <w:rsid w:val="00F40D00"/>
    <w:rsid w:val="00F41F54"/>
    <w:rsid w:val="00F46616"/>
    <w:rsid w:val="00F635C9"/>
    <w:rsid w:val="00F64024"/>
    <w:rsid w:val="00F655EB"/>
    <w:rsid w:val="00F65792"/>
    <w:rsid w:val="00F65C03"/>
    <w:rsid w:val="00F66EA2"/>
    <w:rsid w:val="00F707D1"/>
    <w:rsid w:val="00F76478"/>
    <w:rsid w:val="00F76E14"/>
    <w:rsid w:val="00F80C9C"/>
    <w:rsid w:val="00F85358"/>
    <w:rsid w:val="00F91E4E"/>
    <w:rsid w:val="00FB4F45"/>
    <w:rsid w:val="00FC41C7"/>
    <w:rsid w:val="00FC4524"/>
    <w:rsid w:val="00FC4B31"/>
    <w:rsid w:val="00FD049B"/>
    <w:rsid w:val="00FD22A5"/>
    <w:rsid w:val="00FD6DB0"/>
    <w:rsid w:val="00FF0B39"/>
    <w:rsid w:val="00FF78B0"/>
    <w:rsid w:val="03BE1CB5"/>
    <w:rsid w:val="0595101D"/>
    <w:rsid w:val="0D671181"/>
    <w:rsid w:val="0ECCB41B"/>
    <w:rsid w:val="0F0A69C6"/>
    <w:rsid w:val="25F100DA"/>
    <w:rsid w:val="3E938CDF"/>
    <w:rsid w:val="4142957E"/>
    <w:rsid w:val="488C182D"/>
    <w:rsid w:val="65377F1F"/>
    <w:rsid w:val="681EDD58"/>
    <w:rsid w:val="728880B2"/>
    <w:rsid w:val="7F751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8A2E"/>
  <w15:docId w15:val="{B42BA821-323C-4C8C-98F9-63EAB92D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E2"/>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right="134" w:hanging="360"/>
    </w:pPr>
  </w:style>
  <w:style w:type="paragraph" w:customStyle="1" w:styleId="TableParagraph">
    <w:name w:val="Table Paragraph"/>
    <w:basedOn w:val="Normal"/>
    <w:uiPriority w:val="1"/>
    <w:qFormat/>
    <w:pPr>
      <w:spacing w:before="9" w:line="164" w:lineRule="exact"/>
    </w:pPr>
    <w:rPr>
      <w:rFonts w:ascii="Arial" w:eastAsia="Arial" w:hAnsi="Arial" w:cs="Arial"/>
    </w:rPr>
  </w:style>
  <w:style w:type="paragraph" w:styleId="BalloonText">
    <w:name w:val="Balloon Text"/>
    <w:basedOn w:val="Normal"/>
    <w:link w:val="BalloonTextChar"/>
    <w:uiPriority w:val="99"/>
    <w:semiHidden/>
    <w:unhideWhenUsed/>
    <w:rsid w:val="00986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D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80C9C"/>
    <w:rPr>
      <w:sz w:val="16"/>
      <w:szCs w:val="16"/>
    </w:rPr>
  </w:style>
  <w:style w:type="paragraph" w:styleId="CommentText">
    <w:name w:val="annotation text"/>
    <w:basedOn w:val="Normal"/>
    <w:link w:val="CommentTextChar"/>
    <w:uiPriority w:val="99"/>
    <w:unhideWhenUsed/>
    <w:rsid w:val="00F80C9C"/>
    <w:rPr>
      <w:sz w:val="20"/>
      <w:szCs w:val="20"/>
    </w:rPr>
  </w:style>
  <w:style w:type="character" w:customStyle="1" w:styleId="CommentTextChar">
    <w:name w:val="Comment Text Char"/>
    <w:basedOn w:val="DefaultParagraphFont"/>
    <w:link w:val="CommentText"/>
    <w:uiPriority w:val="99"/>
    <w:rsid w:val="00F80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C9C"/>
    <w:rPr>
      <w:b/>
      <w:bCs/>
    </w:rPr>
  </w:style>
  <w:style w:type="character" w:customStyle="1" w:styleId="CommentSubjectChar">
    <w:name w:val="Comment Subject Char"/>
    <w:basedOn w:val="CommentTextChar"/>
    <w:link w:val="CommentSubject"/>
    <w:uiPriority w:val="99"/>
    <w:semiHidden/>
    <w:rsid w:val="00F80C9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96DB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5E2"/>
    <w:rPr>
      <w:color w:val="0000FF" w:themeColor="hyperlink"/>
      <w:u w:val="single"/>
    </w:rPr>
  </w:style>
  <w:style w:type="paragraph" w:customStyle="1" w:styleId="xmsonormal">
    <w:name w:val="x_msonormal"/>
    <w:basedOn w:val="Normal"/>
    <w:rsid w:val="00A305E2"/>
    <w:pPr>
      <w:widowControl/>
      <w:autoSpaceDE/>
      <w:autoSpaceDN/>
    </w:pPr>
    <w:rPr>
      <w:rFonts w:ascii="Calibri" w:eastAsiaTheme="minorHAnsi" w:hAnsi="Calibri" w:cs="Calibri"/>
    </w:rPr>
  </w:style>
  <w:style w:type="paragraph" w:styleId="NormalWeb">
    <w:name w:val="Normal (Web)"/>
    <w:basedOn w:val="Normal"/>
    <w:uiPriority w:val="99"/>
    <w:semiHidden/>
    <w:unhideWhenUsed/>
    <w:rsid w:val="00A305E2"/>
    <w:pPr>
      <w:widowControl/>
      <w:autoSpaceDE/>
      <w:autoSpaceDN/>
    </w:pPr>
    <w:rPr>
      <w:rFonts w:ascii="Calibri" w:eastAsiaTheme="minorHAnsi" w:hAnsi="Calibri" w:cs="Calibri"/>
    </w:rPr>
  </w:style>
  <w:style w:type="character" w:styleId="UnresolvedMention">
    <w:name w:val="Unresolved Mention"/>
    <w:basedOn w:val="DefaultParagraphFont"/>
    <w:uiPriority w:val="99"/>
    <w:unhideWhenUsed/>
    <w:rsid w:val="00D9691E"/>
    <w:rPr>
      <w:color w:val="605E5C"/>
      <w:shd w:val="clear" w:color="auto" w:fill="E1DFDD"/>
    </w:rPr>
  </w:style>
  <w:style w:type="character" w:styleId="Mention">
    <w:name w:val="Mention"/>
    <w:basedOn w:val="DefaultParagraphFont"/>
    <w:uiPriority w:val="99"/>
    <w:unhideWhenUsed/>
    <w:rsid w:val="0003659E"/>
    <w:rPr>
      <w:color w:val="2B579A"/>
      <w:shd w:val="clear" w:color="auto" w:fill="E1DFDD"/>
    </w:rPr>
  </w:style>
  <w:style w:type="character" w:styleId="FollowedHyperlink">
    <w:name w:val="FollowedHyperlink"/>
    <w:basedOn w:val="DefaultParagraphFont"/>
    <w:uiPriority w:val="99"/>
    <w:semiHidden/>
    <w:unhideWhenUsed/>
    <w:rsid w:val="00550413"/>
    <w:rPr>
      <w:color w:val="800080" w:themeColor="followedHyperlink"/>
      <w:u w:val="single"/>
    </w:rPr>
  </w:style>
  <w:style w:type="paragraph" w:styleId="Revision">
    <w:name w:val="Revision"/>
    <w:hidden/>
    <w:uiPriority w:val="99"/>
    <w:semiHidden/>
    <w:rsid w:val="00B4103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629">
      <w:bodyDiv w:val="1"/>
      <w:marLeft w:val="0"/>
      <w:marRight w:val="0"/>
      <w:marTop w:val="0"/>
      <w:marBottom w:val="0"/>
      <w:divBdr>
        <w:top w:val="none" w:sz="0" w:space="0" w:color="auto"/>
        <w:left w:val="none" w:sz="0" w:space="0" w:color="auto"/>
        <w:bottom w:val="none" w:sz="0" w:space="0" w:color="auto"/>
        <w:right w:val="none" w:sz="0" w:space="0" w:color="auto"/>
      </w:divBdr>
    </w:div>
    <w:div w:id="290987492">
      <w:bodyDiv w:val="1"/>
      <w:marLeft w:val="0"/>
      <w:marRight w:val="0"/>
      <w:marTop w:val="0"/>
      <w:marBottom w:val="0"/>
      <w:divBdr>
        <w:top w:val="none" w:sz="0" w:space="0" w:color="auto"/>
        <w:left w:val="none" w:sz="0" w:space="0" w:color="auto"/>
        <w:bottom w:val="none" w:sz="0" w:space="0" w:color="auto"/>
        <w:right w:val="none" w:sz="0" w:space="0" w:color="auto"/>
      </w:divBdr>
    </w:div>
    <w:div w:id="1014258591">
      <w:bodyDiv w:val="1"/>
      <w:marLeft w:val="0"/>
      <w:marRight w:val="0"/>
      <w:marTop w:val="0"/>
      <w:marBottom w:val="0"/>
      <w:divBdr>
        <w:top w:val="none" w:sz="0" w:space="0" w:color="auto"/>
        <w:left w:val="none" w:sz="0" w:space="0" w:color="auto"/>
        <w:bottom w:val="none" w:sz="0" w:space="0" w:color="auto"/>
        <w:right w:val="none" w:sz="0" w:space="0" w:color="auto"/>
      </w:divBdr>
    </w:div>
    <w:div w:id="1092552327">
      <w:bodyDiv w:val="1"/>
      <w:marLeft w:val="0"/>
      <w:marRight w:val="0"/>
      <w:marTop w:val="0"/>
      <w:marBottom w:val="0"/>
      <w:divBdr>
        <w:top w:val="none" w:sz="0" w:space="0" w:color="auto"/>
        <w:left w:val="none" w:sz="0" w:space="0" w:color="auto"/>
        <w:bottom w:val="none" w:sz="0" w:space="0" w:color="auto"/>
        <w:right w:val="none" w:sz="0" w:space="0" w:color="auto"/>
      </w:divBdr>
    </w:div>
    <w:div w:id="1106924687">
      <w:bodyDiv w:val="1"/>
      <w:marLeft w:val="0"/>
      <w:marRight w:val="0"/>
      <w:marTop w:val="0"/>
      <w:marBottom w:val="0"/>
      <w:divBdr>
        <w:top w:val="none" w:sz="0" w:space="0" w:color="auto"/>
        <w:left w:val="none" w:sz="0" w:space="0" w:color="auto"/>
        <w:bottom w:val="none" w:sz="0" w:space="0" w:color="auto"/>
        <w:right w:val="none" w:sz="0" w:space="0" w:color="auto"/>
      </w:divBdr>
    </w:div>
    <w:div w:id="1260987968">
      <w:bodyDiv w:val="1"/>
      <w:marLeft w:val="0"/>
      <w:marRight w:val="0"/>
      <w:marTop w:val="0"/>
      <w:marBottom w:val="0"/>
      <w:divBdr>
        <w:top w:val="none" w:sz="0" w:space="0" w:color="auto"/>
        <w:left w:val="none" w:sz="0" w:space="0" w:color="auto"/>
        <w:bottom w:val="none" w:sz="0" w:space="0" w:color="auto"/>
        <w:right w:val="none" w:sz="0" w:space="0" w:color="auto"/>
      </w:divBdr>
    </w:div>
    <w:div w:id="1404336439">
      <w:bodyDiv w:val="1"/>
      <w:marLeft w:val="0"/>
      <w:marRight w:val="0"/>
      <w:marTop w:val="0"/>
      <w:marBottom w:val="0"/>
      <w:divBdr>
        <w:top w:val="none" w:sz="0" w:space="0" w:color="auto"/>
        <w:left w:val="none" w:sz="0" w:space="0" w:color="auto"/>
        <w:bottom w:val="none" w:sz="0" w:space="0" w:color="auto"/>
        <w:right w:val="none" w:sz="0" w:space="0" w:color="auto"/>
      </w:divBdr>
    </w:div>
    <w:div w:id="1858083192">
      <w:bodyDiv w:val="1"/>
      <w:marLeft w:val="0"/>
      <w:marRight w:val="0"/>
      <w:marTop w:val="0"/>
      <w:marBottom w:val="0"/>
      <w:divBdr>
        <w:top w:val="none" w:sz="0" w:space="0" w:color="auto"/>
        <w:left w:val="none" w:sz="0" w:space="0" w:color="auto"/>
        <w:bottom w:val="none" w:sz="0" w:space="0" w:color="auto"/>
        <w:right w:val="none" w:sz="0" w:space="0" w:color="auto"/>
      </w:divBdr>
    </w:div>
    <w:div w:id="205206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ce.com/application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case.admin@s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ce.com/aviso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1417249F98166246B871C94DA6044D2E" ma:contentTypeVersion="70" ma:contentTypeDescription="" ma:contentTypeScope="" ma:versionID="f99f511fdd7786a6db1ff509fe19d4db">
  <xsd:schema xmlns:xsd="http://www.w3.org/2001/XMLSchema" xmlns:xs="http://www.w3.org/2001/XMLSchema" xmlns:p="http://schemas.microsoft.com/office/2006/metadata/properties" xmlns:ns3="ec52a836-0bb4-4d79-aa0d-20b4805e15e2" xmlns:ns4="a4e268e6-c6c5-44dc-b698-3dedf41f22e3" xmlns:ns5="d2dc5d60-c3be-4fb3-a9f3-d6d684f95604" xmlns:ns6="e45da448-bf9c-43e8-8676-7e88d583ded9" targetNamespace="http://schemas.microsoft.com/office/2006/metadata/properties" ma:root="true" ma:fieldsID="6b6b06c2a094e063824697482832514c" ns3:_="" ns4:_="" ns5:_="" ns6:_="">
    <xsd:import namespace="ec52a836-0bb4-4d79-aa0d-20b4805e15e2"/>
    <xsd:import namespace="a4e268e6-c6c5-44dc-b698-3dedf41f22e3"/>
    <xsd:import namespace="d2dc5d60-c3be-4fb3-a9f3-d6d684f95604"/>
    <xsd:import namespace="e45da448-bf9c-43e8-8676-7e88d583ded9"/>
    <xsd:element name="properties">
      <xsd:complexType>
        <xsd:sequence>
          <xsd:element name="documentManagement">
            <xsd:complexType>
              <xsd:all>
                <xsd:element ref="ns3:Document_x0020_Date" minOccurs="0"/>
                <xsd:element ref="ns4:LastSharedByTime" minOccurs="0"/>
                <xsd:element ref="ns4:LastSharedByUser" minOccurs="0"/>
                <xsd:element ref="ns3:_dlc_DocId" minOccurs="0"/>
                <xsd:element ref="ns3:_dlc_DocIdUrl" minOccurs="0"/>
                <xsd:element ref="ns3:_dlc_DocIdPersistId" minOccurs="0"/>
                <xsd:element ref="ns5:MediaServiceMetadata" minOccurs="0"/>
                <xsd:element ref="ns5:MediaServiceFastMetadata" minOccurs="0"/>
                <xsd:element ref="ns5:Clip" minOccurs="0"/>
                <xsd:element ref="ns4:Legal_x0020_Group1" minOccurs="0"/>
                <xsd:element ref="ns5:MediaServiceEventHashCode" minOccurs="0"/>
                <xsd:element ref="ns5:MediaServiceGenerationTime" minOccurs="0"/>
                <xsd:element ref="ns5:MediaServiceAutoKeyPoints" minOccurs="0"/>
                <xsd:element ref="ns5:MediaServiceKeyPoint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0">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268e6-c6c5-44dc-b698-3dedf41f22e3" elementFormDefault="qualified">
    <xsd:import namespace="http://schemas.microsoft.com/office/2006/documentManagement/types"/>
    <xsd:import namespace="http://schemas.microsoft.com/office/infopath/2007/PartnerControls"/>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egal_x0020_Group1" ma:index="19" nillable="true" ma:displayName="Legal Group" ma:default="Resource Policy and Planning" ma:format="Dropdown"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schema>
  <xsd:schema xmlns:xsd="http://www.w3.org/2001/XMLSchema" xmlns:xs="http://www.w3.org/2001/XMLSchema" xmlns:dms="http://schemas.microsoft.com/office/2006/documentManagement/types" xmlns:pc="http://schemas.microsoft.com/office/infopath/2007/PartnerControls" targetNamespace="d2dc5d60-c3be-4fb3-a9f3-d6d684f9560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Clip" ma:index="18" nillable="true" ma:displayName="Clip" ma:list="{909c1646-3c59-4e76-9d6f-cc31a7767851}" ma:internalName="Clip" ma:showField="Title">
      <xsd:simpleType>
        <xsd:restriction base="dms:Lookup"/>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a8c02f6-2558-4537-a7e1-51f8d166058a}" ma:internalName="TaxCatchAll" ma:showField="CatchAllData" ma:web="ec52a836-0bb4-4d79-aa0d-20b4805e1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ate xmlns="ec52a836-0bb4-4d79-aa0d-20b4805e15e2">2023-01-31T08:00:00+00:00</Document_x0020_Date>
    <Legal_x0020_Group1 xmlns="a4e268e6-c6c5-44dc-b698-3dedf41f22e3">Resource Policy and Planning</Legal_x0020_Group1>
    <Clip xmlns="d2dc5d60-c3be-4fb3-a9f3-d6d684f95604">15</Clip>
    <_dlc_DocId xmlns="ec52a836-0bb4-4d79-aa0d-20b4805e15e2">LIMSO365-1728027242-8710</_dlc_DocId>
    <_dlc_DocIdUrl xmlns="ec52a836-0bb4-4d79-aa0d-20b4805e15e2">
      <Url>https://edisonintl.sharepoint.com/teams/LIMS O365/RPP/_layouts/15/DocIdRedir.aspx?ID=LIMSO365-1728027242-8710</Url>
      <Description>LIMSO365-1728027242-8710</Description>
    </_dlc_DocIdUrl>
    <TaxCatchAll xmlns="e45da448-bf9c-43e8-8676-7e88d583ded9" xsi:nil="true"/>
    <lcf76f155ced4ddcb4097134ff3c332f xmlns="d2dc5d60-c3be-4fb3-a9f3-d6d684f95604">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722763-316A-4D4E-9071-F35DF42A57CF}">
  <ds:schemaRefs>
    <ds:schemaRef ds:uri="http://schemas.openxmlformats.org/officeDocument/2006/bibliography"/>
  </ds:schemaRefs>
</ds:datastoreItem>
</file>

<file path=customXml/itemProps2.xml><?xml version="1.0" encoding="utf-8"?>
<ds:datastoreItem xmlns:ds="http://schemas.openxmlformats.org/officeDocument/2006/customXml" ds:itemID="{C89C7498-5D3F-4827-8684-C95B99F2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a4e268e6-c6c5-44dc-b698-3dedf41f22e3"/>
    <ds:schemaRef ds:uri="d2dc5d60-c3be-4fb3-a9f3-d6d684f95604"/>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672A4-55B1-4031-8131-2737A19A34FE}">
  <ds:schemaRefs>
    <ds:schemaRef ds:uri="http://schemas.microsoft.com/office/2006/metadata/customXsn"/>
  </ds:schemaRefs>
</ds:datastoreItem>
</file>

<file path=customXml/itemProps4.xml><?xml version="1.0" encoding="utf-8"?>
<ds:datastoreItem xmlns:ds="http://schemas.openxmlformats.org/officeDocument/2006/customXml" ds:itemID="{A9CBA9F2-CFFE-478D-93D8-AE8CC470787F}">
  <ds:schemaRefs>
    <ds:schemaRef ds:uri="http://schemas.microsoft.com/sharepoint/v3/contenttype/forms"/>
  </ds:schemaRefs>
</ds:datastoreItem>
</file>

<file path=customXml/itemProps5.xml><?xml version="1.0" encoding="utf-8"?>
<ds:datastoreItem xmlns:ds="http://schemas.openxmlformats.org/officeDocument/2006/customXml" ds:itemID="{605B77FA-8E25-48AB-98CE-0C8A7DBC461C}">
  <ds:schemaRefs>
    <ds:schemaRef ds:uri="http://schemas.microsoft.com/office/2006/metadata/properties"/>
    <ds:schemaRef ds:uri="http://schemas.microsoft.com/office/infopath/2007/PartnerControls"/>
    <ds:schemaRef ds:uri="ec52a836-0bb4-4d79-aa0d-20b4805e15e2"/>
    <ds:schemaRef ds:uri="a4e268e6-c6c5-44dc-b698-3dedf41f22e3"/>
    <ds:schemaRef ds:uri="d2dc5d60-c3be-4fb3-a9f3-d6d684f95604"/>
    <ds:schemaRef ds:uri="e45da448-bf9c-43e8-8676-7e88d583ded9"/>
  </ds:schemaRefs>
</ds:datastoreItem>
</file>

<file path=customXml/itemProps6.xml><?xml version="1.0" encoding="utf-8"?>
<ds:datastoreItem xmlns:ds="http://schemas.openxmlformats.org/officeDocument/2006/customXml" ds:itemID="{6957F97C-6F98-4590-98B6-AF3918E063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Dong Lee</dc:creator>
  <cp:keywords/>
  <dc:description/>
  <cp:lastModifiedBy>Paula Fabio</cp:lastModifiedBy>
  <cp:revision>10</cp:revision>
  <dcterms:created xsi:type="dcterms:W3CDTF">2023-02-20T11:02:00Z</dcterms:created>
  <dcterms:modified xsi:type="dcterms:W3CDTF">2023-02-20T15:03:00Z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Acrobat PDFMaker 19 for Word</vt:lpwstr>
  </property>
  <property fmtid="{D5CDD505-2E9C-101B-9397-08002B2CF9AE}" pid="4" name="LastSaved">
    <vt:filetime>2021-05-05T00:00:00Z</vt:filetime>
  </property>
  <property fmtid="{D5CDD505-2E9C-101B-9397-08002B2CF9AE}" pid="5" name="ContentTypeId">
    <vt:lpwstr>0x01010059CF184591B1604A8B5108A47612E812001417249F98166246B871C94DA6044D2E</vt:lpwstr>
  </property>
  <property fmtid="{D5CDD505-2E9C-101B-9397-08002B2CF9AE}" pid="6" name="_dlc_DocIdItemGuid">
    <vt:lpwstr>0af9788a-f5b0-4b2b-aa12-2adf36efa1e0</vt:lpwstr>
  </property>
  <property fmtid="{D5CDD505-2E9C-101B-9397-08002B2CF9AE}" pid="7" name="MediaServiceImageTags">
    <vt:lpwstr/>
  </property>
  <property fmtid="{D5CDD505-2E9C-101B-9397-08002B2CF9AE}" pid="8" name="SharedWithUsers">
    <vt:lpwstr>3146;#Emily Salazar;#778;#Raquel Ippoliti;#1306;#Sandra Sedano;#736;#Carolyn Rosso</vt:lpwstr>
  </property>
  <property fmtid="{D5CDD505-2E9C-101B-9397-08002B2CF9AE}" pid="9" name="GrammarlyDocumentId">
    <vt:lpwstr>d1b6602d0049d8c219e6bc2f7f05bd747d25f7d291fb82607dc5be7d6a9a068b</vt:lpwstr>
  </property>
</Properties>
</file>