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3DC" w14:textId="78671040" w:rsidR="00BC0275" w:rsidRPr="00EC4736" w:rsidRDefault="00BC0275" w:rsidP="00BC0275">
      <w:pPr>
        <w:kinsoku w:val="0"/>
        <w:overflowPunct w:val="0"/>
        <w:autoSpaceDE w:val="0"/>
        <w:autoSpaceDN w:val="0"/>
        <w:adjustRightInd w:val="0"/>
        <w:spacing w:after="0" w:line="240" w:lineRule="auto"/>
        <w:rPr>
          <w:color w:val="000000"/>
        </w:rPr>
      </w:pPr>
      <w:r w:rsidRPr="00EC4736">
        <w:t xml:space="preserve">Los usuarios con acceso al Internet podrán leer y descargar esta notificación en español en el sitio de web de SCE </w:t>
      </w:r>
      <w:hyperlink r:id="rId11" w:history="1">
        <w:r w:rsidRPr="00EC4736">
          <w:rPr>
            <w:color w:val="0562C1"/>
            <w:u w:val="single"/>
          </w:rPr>
          <w:t>www.sce.com/avisos</w:t>
        </w:r>
        <w:r w:rsidRPr="00EC4736">
          <w:rPr>
            <w:color w:val="000000"/>
          </w:rPr>
          <w:t>,</w:t>
        </w:r>
      </w:hyperlink>
      <w:r w:rsidRPr="00EC4736">
        <w:rPr>
          <w:color w:val="000000"/>
        </w:rPr>
        <w:t xml:space="preserve"> o escriba a la atención de las Comunicaciones Corporativas.</w:t>
      </w:r>
    </w:p>
    <w:p w14:paraId="01E9E9CB" w14:textId="77777777" w:rsidR="00BC0275" w:rsidRPr="00EC4736" w:rsidRDefault="00BC0275" w:rsidP="00BC0275">
      <w:pPr>
        <w:kinsoku w:val="0"/>
        <w:overflowPunct w:val="0"/>
        <w:autoSpaceDE w:val="0"/>
        <w:autoSpaceDN w:val="0"/>
        <w:adjustRightInd w:val="0"/>
        <w:spacing w:after="0" w:line="240" w:lineRule="auto"/>
        <w:jc w:val="center"/>
      </w:pPr>
      <w:proofErr w:type="spellStart"/>
      <w:r w:rsidRPr="00EC4736">
        <w:t>Southern</w:t>
      </w:r>
      <w:proofErr w:type="spellEnd"/>
      <w:r w:rsidRPr="00EC4736">
        <w:t xml:space="preserve"> California Edison Company</w:t>
      </w:r>
    </w:p>
    <w:p w14:paraId="23C50BAB" w14:textId="05BAB4F1" w:rsidR="00BC0275" w:rsidRPr="00EC4736" w:rsidRDefault="00BC0275" w:rsidP="00BC0275">
      <w:pPr>
        <w:kinsoku w:val="0"/>
        <w:overflowPunct w:val="0"/>
        <w:autoSpaceDE w:val="0"/>
        <w:autoSpaceDN w:val="0"/>
        <w:adjustRightInd w:val="0"/>
        <w:spacing w:after="0" w:line="240" w:lineRule="auto"/>
        <w:jc w:val="center"/>
      </w:pPr>
      <w:r w:rsidRPr="00EC4736">
        <w:t xml:space="preserve">2244 </w:t>
      </w:r>
      <w:proofErr w:type="spellStart"/>
      <w:r w:rsidRPr="00EC4736">
        <w:t>Walnut</w:t>
      </w:r>
      <w:proofErr w:type="spellEnd"/>
      <w:r w:rsidRPr="00EC4736">
        <w:t xml:space="preserve"> Grove Avenue </w:t>
      </w:r>
      <w:proofErr w:type="spellStart"/>
      <w:r w:rsidRPr="00EC4736">
        <w:t>Rosemead</w:t>
      </w:r>
      <w:proofErr w:type="spellEnd"/>
      <w:r w:rsidRPr="00EC4736">
        <w:t>, CA 91770</w:t>
      </w:r>
    </w:p>
    <w:p w14:paraId="66BC2AC3" w14:textId="77777777" w:rsidR="00BC0275" w:rsidRPr="00EC4736" w:rsidRDefault="00BC0275" w:rsidP="00BC0275">
      <w:pPr>
        <w:kinsoku w:val="0"/>
        <w:overflowPunct w:val="0"/>
        <w:autoSpaceDE w:val="0"/>
        <w:autoSpaceDN w:val="0"/>
        <w:adjustRightInd w:val="0"/>
        <w:spacing w:after="0" w:line="240" w:lineRule="auto"/>
        <w:jc w:val="center"/>
      </w:pPr>
    </w:p>
    <w:p w14:paraId="4AFE026C" w14:textId="77777777" w:rsidR="00F97EFD" w:rsidRPr="00EC4736" w:rsidRDefault="00BC0275" w:rsidP="00BC0275">
      <w:pPr>
        <w:kinsoku w:val="0"/>
        <w:overflowPunct w:val="0"/>
        <w:autoSpaceDE w:val="0"/>
        <w:autoSpaceDN w:val="0"/>
        <w:adjustRightInd w:val="0"/>
        <w:spacing w:after="0" w:line="240" w:lineRule="auto"/>
        <w:jc w:val="center"/>
        <w:rPr>
          <w:b/>
        </w:rPr>
      </w:pPr>
      <w:r w:rsidRPr="00EC4736">
        <w:rPr>
          <w:b/>
        </w:rPr>
        <w:t xml:space="preserve">SOLICITUD DE SOUTHERN CALIFORNIA EDISON COMPANY </w:t>
      </w:r>
    </w:p>
    <w:p w14:paraId="77E7A30A" w14:textId="221CEEB3" w:rsidR="00BC0275" w:rsidRPr="00EC4736" w:rsidRDefault="00BC0275" w:rsidP="00BC0275">
      <w:pPr>
        <w:kinsoku w:val="0"/>
        <w:overflowPunct w:val="0"/>
        <w:autoSpaceDE w:val="0"/>
        <w:autoSpaceDN w:val="0"/>
        <w:adjustRightInd w:val="0"/>
        <w:spacing w:after="0" w:line="240" w:lineRule="auto"/>
        <w:jc w:val="center"/>
        <w:rPr>
          <w:b/>
          <w:bCs/>
        </w:rPr>
      </w:pPr>
      <w:r w:rsidRPr="00EC4736">
        <w:rPr>
          <w:b/>
        </w:rPr>
        <w:t>PARA AUMENTAR SUS TARIFAS ELÉCTRICAS</w:t>
      </w:r>
    </w:p>
    <w:p w14:paraId="3BFF9568" w14:textId="359FE5B4" w:rsidR="00BC0275" w:rsidRPr="00EC4736" w:rsidRDefault="00BC0275" w:rsidP="00BC0275">
      <w:pPr>
        <w:kinsoku w:val="0"/>
        <w:overflowPunct w:val="0"/>
        <w:autoSpaceDE w:val="0"/>
        <w:autoSpaceDN w:val="0"/>
        <w:adjustRightInd w:val="0"/>
        <w:spacing w:after="0" w:line="240" w:lineRule="auto"/>
        <w:jc w:val="center"/>
        <w:rPr>
          <w:b/>
          <w:bCs/>
        </w:rPr>
      </w:pPr>
      <w:r w:rsidRPr="00EC4736">
        <w:rPr>
          <w:b/>
        </w:rPr>
        <w:t>SOLICITUD NO. 23-05-010</w:t>
      </w:r>
    </w:p>
    <w:p w14:paraId="4AC18669" w14:textId="759CFB89" w:rsidR="00BC0275" w:rsidRPr="00EC4736" w:rsidRDefault="00BC0275" w:rsidP="00C8336B">
      <w:pPr>
        <w:spacing w:before="240" w:after="0" w:line="240" w:lineRule="auto"/>
      </w:pPr>
      <w:r w:rsidRPr="00EC4736">
        <w:rPr>
          <w:b/>
        </w:rPr>
        <w:t xml:space="preserve">¿Por qué recibí este aviso? </w:t>
      </w:r>
    </w:p>
    <w:p w14:paraId="269F9E6A" w14:textId="55413A0A" w:rsidR="00BC0275" w:rsidRPr="00EC4736" w:rsidRDefault="00BC0275" w:rsidP="00BC0275">
      <w:pPr>
        <w:kinsoku w:val="0"/>
        <w:overflowPunct w:val="0"/>
        <w:autoSpaceDE w:val="0"/>
        <w:autoSpaceDN w:val="0"/>
        <w:adjustRightInd w:val="0"/>
        <w:spacing w:after="120" w:line="240" w:lineRule="auto"/>
      </w:pPr>
      <w:r w:rsidRPr="00EC4736">
        <w:t xml:space="preserve">El 12 de mayo de 2023, </w:t>
      </w:r>
      <w:proofErr w:type="spellStart"/>
      <w:r w:rsidRPr="00EC4736">
        <w:t>Southern</w:t>
      </w:r>
      <w:proofErr w:type="spellEnd"/>
      <w:r w:rsidRPr="00EC4736">
        <w:t xml:space="preserve"> California Edison Company (SCE) presentó ante la Comisión de Servicios Públicos de California (CPUC, por sus siglas en inglés) una solicitud vinculada a su Caso de Tarifas Generales (General </w:t>
      </w:r>
      <w:proofErr w:type="spellStart"/>
      <w:r w:rsidRPr="00EC4736">
        <w:t>Rate</w:t>
      </w:r>
      <w:proofErr w:type="spellEnd"/>
      <w:r w:rsidRPr="00EC4736">
        <w:t xml:space="preserve"> Case o sus siglas GRC) en la que pide autorización para aumentar </w:t>
      </w:r>
      <w:r w:rsidR="008E09EA">
        <w:t>sus</w:t>
      </w:r>
      <w:r w:rsidRPr="00EC4736">
        <w:t xml:space="preserve"> ingresos durante el período 2025-2028. Los aumentos de ingresos que solicita SCE son los siguientes:</w:t>
      </w:r>
      <w:r w:rsidR="008224EE" w:rsidRPr="00EC4736">
        <w:rPr>
          <w:rStyle w:val="FootnoteReference"/>
        </w:rPr>
        <w:footnoteReference w:id="2"/>
      </w:r>
    </w:p>
    <w:p w14:paraId="68286960" w14:textId="3F453317" w:rsidR="00BC0275" w:rsidRPr="00EC4736" w:rsidRDefault="00BC0275" w:rsidP="00BC0275">
      <w:pPr>
        <w:numPr>
          <w:ilvl w:val="0"/>
          <w:numId w:val="1"/>
        </w:numPr>
        <w:tabs>
          <w:tab w:val="left" w:pos="839"/>
        </w:tabs>
        <w:kinsoku w:val="0"/>
        <w:overflowPunct w:val="0"/>
        <w:autoSpaceDE w:val="0"/>
        <w:autoSpaceDN w:val="0"/>
        <w:adjustRightInd w:val="0"/>
        <w:spacing w:before="120" w:after="0" w:line="240" w:lineRule="auto"/>
      </w:pPr>
      <w:r w:rsidRPr="00EC4736">
        <w:t>2025: aumento de $1,895 millones (22.6% más que en 2024)</w:t>
      </w:r>
      <w:r w:rsidR="00133F6C" w:rsidRPr="00EC4736">
        <w:rPr>
          <w:rStyle w:val="FootnoteReference"/>
        </w:rPr>
        <w:footnoteReference w:id="3"/>
      </w:r>
      <w:r w:rsidRPr="00EC4736">
        <w:t xml:space="preserve"> para un requisito de ingresos de $10,267 millones.</w:t>
      </w:r>
    </w:p>
    <w:p w14:paraId="44A80ACC" w14:textId="66318205" w:rsidR="00BC0275" w:rsidRPr="00EC4736" w:rsidRDefault="00BC0275" w:rsidP="00BC0275">
      <w:pPr>
        <w:numPr>
          <w:ilvl w:val="0"/>
          <w:numId w:val="1"/>
        </w:numPr>
        <w:tabs>
          <w:tab w:val="left" w:pos="839"/>
        </w:tabs>
        <w:kinsoku w:val="0"/>
        <w:overflowPunct w:val="0"/>
        <w:autoSpaceDE w:val="0"/>
        <w:autoSpaceDN w:val="0"/>
        <w:adjustRightInd w:val="0"/>
        <w:spacing w:before="120" w:after="0" w:line="240" w:lineRule="auto"/>
      </w:pPr>
      <w:r w:rsidRPr="00EC4736">
        <w:t>2026: $619 millones adicionales (aumento del 6% con respecto a 2025)</w:t>
      </w:r>
    </w:p>
    <w:p w14:paraId="7DB3192F" w14:textId="08F60E2B" w:rsidR="00BC0275" w:rsidRPr="00EC4736" w:rsidRDefault="00BC0275" w:rsidP="00BC0275">
      <w:pPr>
        <w:numPr>
          <w:ilvl w:val="0"/>
          <w:numId w:val="1"/>
        </w:numPr>
        <w:tabs>
          <w:tab w:val="left" w:pos="839"/>
        </w:tabs>
        <w:kinsoku w:val="0"/>
        <w:overflowPunct w:val="0"/>
        <w:autoSpaceDE w:val="0"/>
        <w:autoSpaceDN w:val="0"/>
        <w:adjustRightInd w:val="0"/>
        <w:spacing w:before="120" w:after="0" w:line="240" w:lineRule="auto"/>
      </w:pPr>
      <w:r w:rsidRPr="00EC4736">
        <w:t>2027: $664 millones adicionales (aumento del 6% con respecto a 2026)</w:t>
      </w:r>
    </w:p>
    <w:p w14:paraId="49219161" w14:textId="6EB2920B" w:rsidR="000F23A0" w:rsidRPr="00EC4736" w:rsidRDefault="00125E84" w:rsidP="001A0303">
      <w:pPr>
        <w:numPr>
          <w:ilvl w:val="0"/>
          <w:numId w:val="1"/>
        </w:numPr>
        <w:tabs>
          <w:tab w:val="left" w:pos="839"/>
        </w:tabs>
        <w:kinsoku w:val="0"/>
        <w:overflowPunct w:val="0"/>
        <w:autoSpaceDE w:val="0"/>
        <w:autoSpaceDN w:val="0"/>
        <w:adjustRightInd w:val="0"/>
        <w:spacing w:before="120" w:after="0" w:line="240" w:lineRule="auto"/>
      </w:pPr>
      <w:r w:rsidRPr="00EC4736">
        <w:t>2028: $705 millones adicionales (aumento del 6% con respecto a 2027)</w:t>
      </w:r>
    </w:p>
    <w:p w14:paraId="7F9257C2" w14:textId="718E96D2" w:rsidR="00BC0275" w:rsidRPr="00EC4736" w:rsidRDefault="00BC0275" w:rsidP="00C8336B">
      <w:pPr>
        <w:kinsoku w:val="0"/>
        <w:overflowPunct w:val="0"/>
        <w:autoSpaceDE w:val="0"/>
        <w:autoSpaceDN w:val="0"/>
        <w:adjustRightInd w:val="0"/>
        <w:spacing w:before="240" w:after="120" w:line="240" w:lineRule="auto"/>
      </w:pPr>
      <w:r w:rsidRPr="00EC4736">
        <w:t>Cada cuatro años, SCE debe presentar una solicitud GRC en la que la CPUC fija los niveles de ingresos anuales. Los ingresos anuales son la cantidad total de dinero que una empresa de servicios públicos cobra a través de las tarifas en un año determinado. En los ingresos anuales se incluyen los costos de propiedad y operación de las instalaciones de distribución y generación de electricidad (excluyendo los costos relacionados con el combustible y la energía comprada a terceros), también conocidos como ingresos por tarifas básicas.</w:t>
      </w:r>
    </w:p>
    <w:p w14:paraId="640CC1CB" w14:textId="265C0BDB" w:rsidR="0025124C" w:rsidRPr="00EC4736" w:rsidRDefault="0025124C" w:rsidP="00A114B8">
      <w:pPr>
        <w:kinsoku w:val="0"/>
        <w:overflowPunct w:val="0"/>
        <w:autoSpaceDE w:val="0"/>
        <w:autoSpaceDN w:val="0"/>
        <w:adjustRightInd w:val="0"/>
        <w:spacing w:after="120" w:line="240" w:lineRule="auto"/>
      </w:pPr>
      <w:r w:rsidRPr="00EC4736">
        <w:t>Si la CPUC aprueba esta solicitud, SCE recuperará los costos previstos en las tarifas eléctricas durante un período de cuatro años a partir de 2025. Esto producirá un aumento en su factura mensual.</w:t>
      </w:r>
    </w:p>
    <w:p w14:paraId="5EFABE9A" w14:textId="42B803E9" w:rsidR="00BC0275" w:rsidRPr="00EC4736" w:rsidRDefault="00BC0275" w:rsidP="00BC0275">
      <w:pPr>
        <w:spacing w:before="120" w:after="0" w:line="240" w:lineRule="auto"/>
        <w:rPr>
          <w:b/>
          <w:bCs/>
        </w:rPr>
      </w:pPr>
      <w:r w:rsidRPr="00EC4736">
        <w:rPr>
          <w:b/>
        </w:rPr>
        <w:t>¿Por qué SCE está solicitando este aumento en las tarifas?</w:t>
      </w:r>
    </w:p>
    <w:p w14:paraId="7D8B052F" w14:textId="7E116CB9" w:rsidR="0033252C" w:rsidRPr="00EC4736" w:rsidRDefault="0033252C" w:rsidP="00FB0AE2">
      <w:pPr>
        <w:kinsoku w:val="0"/>
        <w:overflowPunct w:val="0"/>
        <w:autoSpaceDE w:val="0"/>
        <w:autoSpaceDN w:val="0"/>
        <w:adjustRightInd w:val="0"/>
        <w:spacing w:after="120" w:line="240" w:lineRule="auto"/>
      </w:pPr>
      <w:r w:rsidRPr="00EC4736">
        <w:t xml:space="preserve">En este GRC, SCE priorizará su compromiso de abastecer a sus usuarios un servicio eléctrico confiable, resiliente y preparado para sus necesidades actuales, así como apoyar la transición a la energía limpia establecida por las políticas de California. </w:t>
      </w:r>
    </w:p>
    <w:p w14:paraId="57C0053C" w14:textId="44EF5592" w:rsidR="0033252C" w:rsidRPr="00EC4736" w:rsidRDefault="0033252C" w:rsidP="00A114B8">
      <w:pPr>
        <w:kinsoku w:val="0"/>
        <w:overflowPunct w:val="0"/>
        <w:autoSpaceDE w:val="0"/>
        <w:autoSpaceDN w:val="0"/>
        <w:adjustRightInd w:val="0"/>
        <w:spacing w:after="120" w:line="240" w:lineRule="auto"/>
      </w:pPr>
      <w:r w:rsidRPr="00EC4736">
        <w:t>En concreto, debemos realizar inversiones significativas durante este ciclo de GRC a fin de:</w:t>
      </w:r>
    </w:p>
    <w:p w14:paraId="7C95A1AA" w14:textId="7FC7EB29" w:rsidR="0033252C" w:rsidRPr="00EC4736" w:rsidRDefault="0033252C" w:rsidP="00A114B8">
      <w:pPr>
        <w:pStyle w:val="Heading1Text"/>
        <w:numPr>
          <w:ilvl w:val="0"/>
          <w:numId w:val="3"/>
        </w:numPr>
        <w:spacing w:line="240" w:lineRule="auto"/>
      </w:pPr>
      <w:r w:rsidRPr="00EC4736">
        <w:t xml:space="preserve">Aumentar la confiabilidad del sistema eléctrico de SCE a fin de cubrir la creciente demanda de electricidad de los </w:t>
      </w:r>
      <w:r w:rsidR="00C66D12" w:rsidRPr="00C66D12">
        <w:t>usuarios</w:t>
      </w:r>
      <w:r w:rsidRPr="00EC4736">
        <w:t xml:space="preserve"> para sus hogares, negocios y automóviles, ayudarlos a trabajar o estudiar a distancia y mantenerse conectados.</w:t>
      </w:r>
    </w:p>
    <w:p w14:paraId="1367F2EB" w14:textId="1776455D" w:rsidR="0033252C" w:rsidRPr="00EC4736" w:rsidRDefault="0033252C" w:rsidP="0033252C">
      <w:pPr>
        <w:pStyle w:val="Heading1Text"/>
        <w:numPr>
          <w:ilvl w:val="0"/>
          <w:numId w:val="3"/>
        </w:numPr>
        <w:spacing w:line="240" w:lineRule="auto"/>
      </w:pPr>
      <w:r w:rsidRPr="00EC4736">
        <w:lastRenderedPageBreak/>
        <w:t>Mejorar la resiliencia de la red frente a los incendios forestales, otros fenómenos meteorológicos extremos a largo plazo y las amenazas a la seguridad física y cibernética.</w:t>
      </w:r>
    </w:p>
    <w:p w14:paraId="6DF2D8C7" w14:textId="6BC7ADBB" w:rsidR="004F4F30" w:rsidRPr="00EC4736" w:rsidRDefault="001E07CF" w:rsidP="001E07CF">
      <w:pPr>
        <w:pStyle w:val="Heading1Text"/>
        <w:numPr>
          <w:ilvl w:val="0"/>
          <w:numId w:val="3"/>
        </w:numPr>
        <w:spacing w:line="240" w:lineRule="auto"/>
      </w:pPr>
      <w:r w:rsidRPr="00EC4736">
        <w:t xml:space="preserve">Implementar las tecnologías, programas y proyectos necesarios para limpiar y modernizar la red, de acuerdo con las políticas estatales y federales de energía limpia, y para cubrir la demanda de electricidad asociada a la electrificación del transporte y de los inmuebles, la cual está aumentando a pasos </w:t>
      </w:r>
      <w:r w:rsidR="00441B43" w:rsidRPr="00EC4736">
        <w:t>acelerados.</w:t>
      </w:r>
    </w:p>
    <w:p w14:paraId="2533067D" w14:textId="63633AEF" w:rsidR="0025124C" w:rsidRPr="00EC4736" w:rsidRDefault="0025124C" w:rsidP="00FF1CF2">
      <w:pPr>
        <w:spacing w:before="240" w:after="0" w:line="240" w:lineRule="auto"/>
        <w:rPr>
          <w:b/>
          <w:bCs/>
        </w:rPr>
      </w:pPr>
      <w:r w:rsidRPr="00EC4736">
        <w:rPr>
          <w:b/>
        </w:rPr>
        <w:t xml:space="preserve">¿Qué </w:t>
      </w:r>
      <w:r w:rsidR="00CD7B5D">
        <w:rPr>
          <w:b/>
        </w:rPr>
        <w:t xml:space="preserve">impacto </w:t>
      </w:r>
      <w:r w:rsidRPr="00EC4736">
        <w:rPr>
          <w:b/>
        </w:rPr>
        <w:t xml:space="preserve">podría tener esto en mis tarifas eléctricas mensuales? </w:t>
      </w:r>
    </w:p>
    <w:p w14:paraId="001CE093" w14:textId="6E2DE1FD" w:rsidR="0025124C" w:rsidRPr="00EC4736" w:rsidRDefault="00B90A66" w:rsidP="00F565D7">
      <w:pPr>
        <w:spacing w:after="120" w:line="240" w:lineRule="auto"/>
      </w:pPr>
      <w:r w:rsidRPr="00EC4736">
        <w:t>El cuadro siguiente presenta el aumento tarifario solicitado según el tipo de usuario, basado en el método más reciente aprobado por la CPUC.  Las cantidades en dólares y los porcentajes que se indican a continuación en la sección de impacto en la factura no reflejan necesariamente los cambios exactos que podría ver en su factura y se basan tanto en los clientes inscriptos como no inscriptos en CARE</w:t>
      </w:r>
      <w:r w:rsidR="00E70CBC" w:rsidRPr="00EC4736">
        <w:rPr>
          <w:rStyle w:val="FootnoteReference"/>
        </w:rPr>
        <w:footnoteReference w:id="4"/>
      </w:r>
      <w:r w:rsidRPr="00EC4736">
        <w:t xml:space="preserve"> que consumen un promedio de 500 kWh al mes.  Los cambios en las facturas individuales dependen de la cantidad de electricidad que consuma cada cliente.  </w:t>
      </w:r>
    </w:p>
    <w:p w14:paraId="48CFA5A8" w14:textId="3085E5C9" w:rsidR="00D62EA5" w:rsidRPr="00EC4736" w:rsidRDefault="00BF1D8D" w:rsidP="00FF1CF2">
      <w:pPr>
        <w:pStyle w:val="Heading2"/>
        <w:spacing w:before="240" w:after="80" w:line="240" w:lineRule="auto"/>
        <w:jc w:val="center"/>
        <w:rPr>
          <w:rFonts w:ascii="Times New Roman" w:hAnsi="Times New Roman"/>
          <w:b/>
          <w:i/>
          <w:color w:val="auto"/>
          <w:sz w:val="24"/>
        </w:rPr>
      </w:pPr>
      <w:r w:rsidRPr="00EC4736">
        <w:rPr>
          <w:rFonts w:ascii="Times New Roman" w:hAnsi="Times New Roman"/>
          <w:b/>
          <w:i/>
          <w:color w:val="auto"/>
          <w:sz w:val="24"/>
        </w:rPr>
        <w:t>CUADRO DE IMPACTOS A LOS USUARIOS</w:t>
      </w:r>
    </w:p>
    <w:tbl>
      <w:tblPr>
        <w:tblW w:w="9360" w:type="dxa"/>
        <w:tblLook w:val="04A0" w:firstRow="1" w:lastRow="0" w:firstColumn="1" w:lastColumn="0" w:noHBand="0" w:noVBand="1"/>
      </w:tblPr>
      <w:tblGrid>
        <w:gridCol w:w="1394"/>
        <w:gridCol w:w="1395"/>
        <w:gridCol w:w="1295"/>
        <w:gridCol w:w="1666"/>
        <w:gridCol w:w="1668"/>
        <w:gridCol w:w="1942"/>
      </w:tblGrid>
      <w:tr w:rsidR="00F97EFD" w:rsidRPr="00F97EFD" w14:paraId="77A1B002" w14:textId="77777777" w:rsidTr="00F97EFD">
        <w:trPr>
          <w:trHeight w:val="300"/>
        </w:trPr>
        <w:tc>
          <w:tcPr>
            <w:tcW w:w="9360" w:type="dxa"/>
            <w:gridSpan w:val="6"/>
            <w:tcBorders>
              <w:top w:val="nil"/>
              <w:left w:val="nil"/>
              <w:bottom w:val="nil"/>
              <w:right w:val="nil"/>
            </w:tcBorders>
            <w:shd w:val="clear" w:color="000000" w:fill="000000"/>
            <w:noWrap/>
            <w:vAlign w:val="bottom"/>
            <w:hideMark/>
          </w:tcPr>
          <w:p w14:paraId="385D8AC6" w14:textId="77777777" w:rsidR="00F97EFD" w:rsidRPr="00F97EFD" w:rsidRDefault="00F97EFD" w:rsidP="00F97EFD">
            <w:pPr>
              <w:spacing w:after="0" w:line="240" w:lineRule="auto"/>
              <w:rPr>
                <w:rFonts w:ascii="Garamond" w:eastAsia="Times New Roman" w:hAnsi="Garamond" w:cs="Calibri"/>
                <w:b/>
                <w:bCs/>
                <w:color w:val="FFFFFF"/>
                <w:sz w:val="22"/>
                <w:szCs w:val="22"/>
              </w:rPr>
            </w:pPr>
            <w:r w:rsidRPr="00F97EFD">
              <w:rPr>
                <w:rFonts w:ascii="Garamond" w:eastAsia="Times New Roman" w:hAnsi="Garamond" w:cs="Calibri"/>
                <w:b/>
                <w:bCs/>
                <w:color w:val="FFFFFF"/>
                <w:sz w:val="22"/>
                <w:szCs w:val="22"/>
              </w:rPr>
              <w:t>Tarifas promedio del servicio combinado (¢/</w:t>
            </w:r>
            <w:proofErr w:type="gramStart"/>
            <w:r w:rsidRPr="00F97EFD">
              <w:rPr>
                <w:rFonts w:ascii="Garamond" w:eastAsia="Times New Roman" w:hAnsi="Garamond" w:cs="Calibri"/>
                <w:b/>
                <w:bCs/>
                <w:color w:val="FFFFFF"/>
                <w:sz w:val="22"/>
                <w:szCs w:val="22"/>
              </w:rPr>
              <w:t>kWh)*</w:t>
            </w:r>
            <w:proofErr w:type="gramEnd"/>
          </w:p>
        </w:tc>
      </w:tr>
      <w:tr w:rsidR="00F97EFD" w:rsidRPr="00F97EFD" w14:paraId="3B300B7A" w14:textId="77777777" w:rsidTr="00F97EFD">
        <w:trPr>
          <w:trHeight w:val="900"/>
        </w:trPr>
        <w:tc>
          <w:tcPr>
            <w:tcW w:w="2789" w:type="dxa"/>
            <w:gridSpan w:val="2"/>
            <w:tcBorders>
              <w:top w:val="nil"/>
              <w:left w:val="nil"/>
              <w:bottom w:val="single" w:sz="4" w:space="0" w:color="auto"/>
              <w:right w:val="nil"/>
            </w:tcBorders>
            <w:shd w:val="clear" w:color="000000" w:fill="F2F2F2"/>
            <w:noWrap/>
            <w:vAlign w:val="center"/>
            <w:hideMark/>
          </w:tcPr>
          <w:p w14:paraId="10EA3404" w14:textId="77777777" w:rsidR="00F97EFD" w:rsidRPr="00F97EFD" w:rsidRDefault="00F97EFD" w:rsidP="00F97EFD">
            <w:pPr>
              <w:spacing w:after="0" w:line="240" w:lineRule="auto"/>
              <w:rPr>
                <w:rFonts w:ascii="Garamond" w:eastAsia="Times New Roman" w:hAnsi="Garamond" w:cs="Calibri"/>
                <w:b/>
                <w:bCs/>
                <w:sz w:val="20"/>
                <w:szCs w:val="20"/>
              </w:rPr>
            </w:pPr>
            <w:r w:rsidRPr="00F97EFD">
              <w:rPr>
                <w:rFonts w:ascii="Garamond" w:eastAsia="Times New Roman" w:hAnsi="Garamond" w:cs="Calibri"/>
                <w:b/>
                <w:bCs/>
                <w:sz w:val="20"/>
                <w:szCs w:val="20"/>
              </w:rPr>
              <w:t>Tipo de usuario</w:t>
            </w:r>
          </w:p>
        </w:tc>
        <w:tc>
          <w:tcPr>
            <w:tcW w:w="1295" w:type="dxa"/>
            <w:tcBorders>
              <w:top w:val="nil"/>
              <w:left w:val="nil"/>
              <w:bottom w:val="single" w:sz="4" w:space="0" w:color="auto"/>
              <w:right w:val="nil"/>
            </w:tcBorders>
            <w:shd w:val="clear" w:color="000000" w:fill="F2F2F2"/>
            <w:vAlign w:val="center"/>
            <w:hideMark/>
          </w:tcPr>
          <w:p w14:paraId="03DA3787" w14:textId="77777777" w:rsidR="00F97EFD" w:rsidRPr="00F97EFD" w:rsidRDefault="00F97EFD" w:rsidP="00F97EFD">
            <w:pPr>
              <w:spacing w:after="0" w:line="240" w:lineRule="auto"/>
              <w:jc w:val="center"/>
              <w:rPr>
                <w:rFonts w:ascii="Garamond" w:eastAsia="Times New Roman" w:hAnsi="Garamond" w:cs="Calibri"/>
                <w:b/>
                <w:bCs/>
                <w:sz w:val="20"/>
                <w:szCs w:val="20"/>
              </w:rPr>
            </w:pPr>
            <w:r w:rsidRPr="00F97EFD">
              <w:rPr>
                <w:rFonts w:ascii="Garamond" w:eastAsia="Times New Roman" w:hAnsi="Garamond" w:cs="Calibri"/>
                <w:b/>
                <w:bCs/>
                <w:sz w:val="20"/>
                <w:szCs w:val="20"/>
              </w:rPr>
              <w:t>2024**</w:t>
            </w:r>
          </w:p>
        </w:tc>
        <w:tc>
          <w:tcPr>
            <w:tcW w:w="1666" w:type="dxa"/>
            <w:tcBorders>
              <w:top w:val="nil"/>
              <w:left w:val="nil"/>
              <w:bottom w:val="single" w:sz="4" w:space="0" w:color="auto"/>
              <w:right w:val="nil"/>
            </w:tcBorders>
            <w:shd w:val="clear" w:color="000000" w:fill="F2F2F2"/>
            <w:vAlign w:val="center"/>
            <w:hideMark/>
          </w:tcPr>
          <w:p w14:paraId="6590E0C0" w14:textId="77777777" w:rsidR="00F97EFD" w:rsidRPr="00F97EFD" w:rsidRDefault="00F97EFD" w:rsidP="00F97EFD">
            <w:pPr>
              <w:spacing w:after="0" w:line="240" w:lineRule="auto"/>
              <w:jc w:val="center"/>
              <w:rPr>
                <w:rFonts w:ascii="Garamond" w:eastAsia="Times New Roman" w:hAnsi="Garamond" w:cs="Calibri"/>
                <w:b/>
                <w:bCs/>
                <w:sz w:val="20"/>
                <w:szCs w:val="20"/>
              </w:rPr>
            </w:pPr>
            <w:r w:rsidRPr="00F97EFD">
              <w:rPr>
                <w:rFonts w:ascii="Garamond" w:eastAsia="Times New Roman" w:hAnsi="Garamond" w:cs="Calibri"/>
                <w:b/>
                <w:bCs/>
                <w:sz w:val="20"/>
                <w:szCs w:val="20"/>
              </w:rPr>
              <w:t>Cambio solicitado</w:t>
            </w:r>
          </w:p>
        </w:tc>
        <w:tc>
          <w:tcPr>
            <w:tcW w:w="1668" w:type="dxa"/>
            <w:tcBorders>
              <w:top w:val="nil"/>
              <w:left w:val="nil"/>
              <w:bottom w:val="single" w:sz="4" w:space="0" w:color="auto"/>
              <w:right w:val="nil"/>
            </w:tcBorders>
            <w:shd w:val="clear" w:color="000000" w:fill="F2F2F2"/>
            <w:vAlign w:val="center"/>
            <w:hideMark/>
          </w:tcPr>
          <w:p w14:paraId="020B1420" w14:textId="77777777" w:rsidR="00F97EFD" w:rsidRPr="00F97EFD" w:rsidRDefault="00F97EFD" w:rsidP="00F97EFD">
            <w:pPr>
              <w:spacing w:after="0" w:line="240" w:lineRule="auto"/>
              <w:jc w:val="center"/>
              <w:rPr>
                <w:rFonts w:ascii="Garamond" w:eastAsia="Times New Roman" w:hAnsi="Garamond" w:cs="Calibri"/>
                <w:b/>
                <w:bCs/>
                <w:sz w:val="20"/>
                <w:szCs w:val="20"/>
              </w:rPr>
            </w:pPr>
            <w:r w:rsidRPr="00F97EFD">
              <w:rPr>
                <w:rFonts w:ascii="Garamond" w:eastAsia="Times New Roman" w:hAnsi="Garamond" w:cs="Calibri"/>
                <w:b/>
                <w:bCs/>
                <w:sz w:val="20"/>
                <w:szCs w:val="20"/>
              </w:rPr>
              <w:t>Tarifas solicitadas</w:t>
            </w:r>
          </w:p>
        </w:tc>
        <w:tc>
          <w:tcPr>
            <w:tcW w:w="1942" w:type="dxa"/>
            <w:tcBorders>
              <w:top w:val="nil"/>
              <w:left w:val="nil"/>
              <w:bottom w:val="single" w:sz="4" w:space="0" w:color="auto"/>
              <w:right w:val="nil"/>
            </w:tcBorders>
            <w:shd w:val="clear" w:color="000000" w:fill="F2F2F2"/>
            <w:vAlign w:val="center"/>
            <w:hideMark/>
          </w:tcPr>
          <w:p w14:paraId="7E0FB217" w14:textId="77777777" w:rsidR="00F97EFD" w:rsidRPr="00F97EFD" w:rsidRDefault="00F97EFD" w:rsidP="00F97EFD">
            <w:pPr>
              <w:spacing w:after="0" w:line="240" w:lineRule="auto"/>
              <w:jc w:val="center"/>
              <w:rPr>
                <w:rFonts w:ascii="Garamond" w:eastAsia="Times New Roman" w:hAnsi="Garamond" w:cs="Calibri"/>
                <w:b/>
                <w:bCs/>
                <w:sz w:val="20"/>
                <w:szCs w:val="20"/>
              </w:rPr>
            </w:pPr>
            <w:r w:rsidRPr="00F97EFD">
              <w:rPr>
                <w:rFonts w:ascii="Garamond" w:eastAsia="Times New Roman" w:hAnsi="Garamond" w:cs="Calibri"/>
                <w:b/>
                <w:bCs/>
                <w:sz w:val="20"/>
                <w:szCs w:val="20"/>
              </w:rPr>
              <w:t>% de cambio***</w:t>
            </w:r>
          </w:p>
        </w:tc>
      </w:tr>
      <w:tr w:rsidR="00F97EFD" w:rsidRPr="00F97EFD" w14:paraId="092C1B46" w14:textId="77777777" w:rsidTr="00F97EFD">
        <w:trPr>
          <w:trHeight w:val="300"/>
        </w:trPr>
        <w:tc>
          <w:tcPr>
            <w:tcW w:w="2789" w:type="dxa"/>
            <w:gridSpan w:val="2"/>
            <w:tcBorders>
              <w:top w:val="single" w:sz="4" w:space="0" w:color="auto"/>
              <w:left w:val="nil"/>
              <w:bottom w:val="nil"/>
              <w:right w:val="nil"/>
            </w:tcBorders>
            <w:shd w:val="clear" w:color="auto" w:fill="auto"/>
            <w:noWrap/>
            <w:vAlign w:val="bottom"/>
            <w:hideMark/>
          </w:tcPr>
          <w:p w14:paraId="3D35201C" w14:textId="77777777" w:rsidR="00F97EFD" w:rsidRPr="00F97EFD" w:rsidRDefault="00F97EFD" w:rsidP="00F97EFD">
            <w:pPr>
              <w:spacing w:after="0" w:line="240" w:lineRule="auto"/>
              <w:rPr>
                <w:rFonts w:ascii="Garamond" w:eastAsia="Times New Roman" w:hAnsi="Garamond" w:cs="Calibri"/>
                <w:sz w:val="20"/>
                <w:szCs w:val="20"/>
              </w:rPr>
            </w:pPr>
            <w:r w:rsidRPr="00F97EFD">
              <w:rPr>
                <w:rFonts w:ascii="Garamond" w:eastAsia="Times New Roman" w:hAnsi="Garamond" w:cs="Calibri"/>
                <w:sz w:val="20"/>
                <w:szCs w:val="20"/>
              </w:rPr>
              <w:t>Usuarios residenciales</w:t>
            </w:r>
          </w:p>
        </w:tc>
        <w:tc>
          <w:tcPr>
            <w:tcW w:w="1295" w:type="dxa"/>
            <w:tcBorders>
              <w:top w:val="nil"/>
              <w:left w:val="nil"/>
              <w:bottom w:val="nil"/>
              <w:right w:val="nil"/>
            </w:tcBorders>
            <w:shd w:val="clear" w:color="auto" w:fill="auto"/>
            <w:noWrap/>
            <w:vAlign w:val="bottom"/>
            <w:hideMark/>
          </w:tcPr>
          <w:p w14:paraId="3A1DB561"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32.29</w:t>
            </w:r>
          </w:p>
        </w:tc>
        <w:tc>
          <w:tcPr>
            <w:tcW w:w="1666" w:type="dxa"/>
            <w:tcBorders>
              <w:top w:val="nil"/>
              <w:left w:val="nil"/>
              <w:bottom w:val="nil"/>
              <w:right w:val="nil"/>
            </w:tcBorders>
            <w:shd w:val="clear" w:color="auto" w:fill="auto"/>
            <w:noWrap/>
            <w:vAlign w:val="bottom"/>
            <w:hideMark/>
          </w:tcPr>
          <w:p w14:paraId="20C41099"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3.42</w:t>
            </w:r>
          </w:p>
        </w:tc>
        <w:tc>
          <w:tcPr>
            <w:tcW w:w="1668" w:type="dxa"/>
            <w:tcBorders>
              <w:top w:val="nil"/>
              <w:left w:val="nil"/>
              <w:bottom w:val="nil"/>
              <w:right w:val="nil"/>
            </w:tcBorders>
            <w:shd w:val="clear" w:color="auto" w:fill="auto"/>
            <w:noWrap/>
            <w:vAlign w:val="bottom"/>
            <w:hideMark/>
          </w:tcPr>
          <w:p w14:paraId="1CBD8691"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35.71</w:t>
            </w:r>
          </w:p>
        </w:tc>
        <w:tc>
          <w:tcPr>
            <w:tcW w:w="1942" w:type="dxa"/>
            <w:tcBorders>
              <w:top w:val="nil"/>
              <w:left w:val="nil"/>
              <w:bottom w:val="nil"/>
              <w:right w:val="nil"/>
            </w:tcBorders>
            <w:shd w:val="clear" w:color="auto" w:fill="auto"/>
            <w:noWrap/>
            <w:vAlign w:val="bottom"/>
            <w:hideMark/>
          </w:tcPr>
          <w:p w14:paraId="2DE01902"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10.6%</w:t>
            </w:r>
          </w:p>
        </w:tc>
      </w:tr>
      <w:tr w:rsidR="00F97EFD" w:rsidRPr="00F97EFD" w14:paraId="4E88C73D" w14:textId="77777777" w:rsidTr="00F97EFD">
        <w:trPr>
          <w:trHeight w:val="300"/>
        </w:trPr>
        <w:tc>
          <w:tcPr>
            <w:tcW w:w="2789" w:type="dxa"/>
            <w:gridSpan w:val="2"/>
            <w:tcBorders>
              <w:top w:val="nil"/>
              <w:left w:val="nil"/>
              <w:bottom w:val="nil"/>
              <w:right w:val="nil"/>
            </w:tcBorders>
            <w:shd w:val="clear" w:color="auto" w:fill="auto"/>
            <w:noWrap/>
            <w:vAlign w:val="bottom"/>
            <w:hideMark/>
          </w:tcPr>
          <w:p w14:paraId="7C1F1315" w14:textId="77777777" w:rsidR="00F97EFD" w:rsidRPr="00F97EFD" w:rsidRDefault="00F97EFD" w:rsidP="00F97EFD">
            <w:pPr>
              <w:spacing w:after="0" w:line="240" w:lineRule="auto"/>
              <w:rPr>
                <w:rFonts w:ascii="Garamond" w:eastAsia="Times New Roman" w:hAnsi="Garamond" w:cs="Calibri"/>
                <w:sz w:val="20"/>
                <w:szCs w:val="20"/>
              </w:rPr>
            </w:pPr>
            <w:r w:rsidRPr="00F97EFD">
              <w:rPr>
                <w:rFonts w:ascii="Garamond" w:eastAsia="Times New Roman" w:hAnsi="Garamond" w:cs="Calibri"/>
                <w:sz w:val="20"/>
                <w:szCs w:val="20"/>
              </w:rPr>
              <w:t>Iluminación - Usuarios pequeños y medianos</w:t>
            </w:r>
          </w:p>
        </w:tc>
        <w:tc>
          <w:tcPr>
            <w:tcW w:w="1295" w:type="dxa"/>
            <w:tcBorders>
              <w:top w:val="nil"/>
              <w:left w:val="nil"/>
              <w:bottom w:val="nil"/>
              <w:right w:val="nil"/>
            </w:tcBorders>
            <w:shd w:val="clear" w:color="auto" w:fill="auto"/>
            <w:noWrap/>
            <w:vAlign w:val="bottom"/>
            <w:hideMark/>
          </w:tcPr>
          <w:p w14:paraId="4F2C17D8"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28.38</w:t>
            </w:r>
          </w:p>
        </w:tc>
        <w:tc>
          <w:tcPr>
            <w:tcW w:w="1666" w:type="dxa"/>
            <w:tcBorders>
              <w:top w:val="nil"/>
              <w:left w:val="nil"/>
              <w:bottom w:val="nil"/>
              <w:right w:val="nil"/>
            </w:tcBorders>
            <w:shd w:val="clear" w:color="auto" w:fill="auto"/>
            <w:noWrap/>
            <w:vAlign w:val="bottom"/>
            <w:hideMark/>
          </w:tcPr>
          <w:p w14:paraId="699BA630"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2.89</w:t>
            </w:r>
          </w:p>
        </w:tc>
        <w:tc>
          <w:tcPr>
            <w:tcW w:w="1668" w:type="dxa"/>
            <w:tcBorders>
              <w:top w:val="nil"/>
              <w:left w:val="nil"/>
              <w:bottom w:val="nil"/>
              <w:right w:val="nil"/>
            </w:tcBorders>
            <w:shd w:val="clear" w:color="auto" w:fill="auto"/>
            <w:noWrap/>
            <w:vAlign w:val="bottom"/>
            <w:hideMark/>
          </w:tcPr>
          <w:p w14:paraId="13436EC9"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31.26</w:t>
            </w:r>
          </w:p>
        </w:tc>
        <w:tc>
          <w:tcPr>
            <w:tcW w:w="1942" w:type="dxa"/>
            <w:tcBorders>
              <w:top w:val="nil"/>
              <w:left w:val="nil"/>
              <w:bottom w:val="nil"/>
              <w:right w:val="nil"/>
            </w:tcBorders>
            <w:shd w:val="clear" w:color="auto" w:fill="auto"/>
            <w:noWrap/>
            <w:vAlign w:val="bottom"/>
            <w:hideMark/>
          </w:tcPr>
          <w:p w14:paraId="1CFDC55A"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10.2%</w:t>
            </w:r>
          </w:p>
        </w:tc>
      </w:tr>
      <w:tr w:rsidR="00F97EFD" w:rsidRPr="00F97EFD" w14:paraId="58271275" w14:textId="77777777" w:rsidTr="00F97EFD">
        <w:trPr>
          <w:trHeight w:val="300"/>
        </w:trPr>
        <w:tc>
          <w:tcPr>
            <w:tcW w:w="2789" w:type="dxa"/>
            <w:gridSpan w:val="2"/>
            <w:tcBorders>
              <w:top w:val="nil"/>
              <w:left w:val="nil"/>
              <w:bottom w:val="nil"/>
              <w:right w:val="nil"/>
            </w:tcBorders>
            <w:shd w:val="clear" w:color="auto" w:fill="auto"/>
            <w:noWrap/>
            <w:vAlign w:val="bottom"/>
            <w:hideMark/>
          </w:tcPr>
          <w:p w14:paraId="70505C2E" w14:textId="77777777" w:rsidR="00F97EFD" w:rsidRPr="00F97EFD" w:rsidRDefault="00F97EFD" w:rsidP="00F97EFD">
            <w:pPr>
              <w:spacing w:after="0" w:line="240" w:lineRule="auto"/>
              <w:rPr>
                <w:rFonts w:ascii="Garamond" w:eastAsia="Times New Roman" w:hAnsi="Garamond" w:cs="Calibri"/>
                <w:sz w:val="20"/>
                <w:szCs w:val="20"/>
              </w:rPr>
            </w:pPr>
            <w:r w:rsidRPr="00F97EFD">
              <w:rPr>
                <w:rFonts w:ascii="Garamond" w:eastAsia="Times New Roman" w:hAnsi="Garamond" w:cs="Calibri"/>
                <w:sz w:val="20"/>
                <w:szCs w:val="20"/>
              </w:rPr>
              <w:t>Grandes usuarios eléctricos</w:t>
            </w:r>
          </w:p>
        </w:tc>
        <w:tc>
          <w:tcPr>
            <w:tcW w:w="1295" w:type="dxa"/>
            <w:tcBorders>
              <w:top w:val="nil"/>
              <w:left w:val="nil"/>
              <w:bottom w:val="nil"/>
              <w:right w:val="nil"/>
            </w:tcBorders>
            <w:shd w:val="clear" w:color="auto" w:fill="auto"/>
            <w:noWrap/>
            <w:vAlign w:val="bottom"/>
            <w:hideMark/>
          </w:tcPr>
          <w:p w14:paraId="55ED3590"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19.92</w:t>
            </w:r>
          </w:p>
        </w:tc>
        <w:tc>
          <w:tcPr>
            <w:tcW w:w="1666" w:type="dxa"/>
            <w:tcBorders>
              <w:top w:val="nil"/>
              <w:left w:val="nil"/>
              <w:bottom w:val="nil"/>
              <w:right w:val="nil"/>
            </w:tcBorders>
            <w:shd w:val="clear" w:color="auto" w:fill="auto"/>
            <w:noWrap/>
            <w:vAlign w:val="bottom"/>
            <w:hideMark/>
          </w:tcPr>
          <w:p w14:paraId="082CC20A"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1.37</w:t>
            </w:r>
          </w:p>
        </w:tc>
        <w:tc>
          <w:tcPr>
            <w:tcW w:w="1668" w:type="dxa"/>
            <w:tcBorders>
              <w:top w:val="nil"/>
              <w:left w:val="nil"/>
              <w:bottom w:val="nil"/>
              <w:right w:val="nil"/>
            </w:tcBorders>
            <w:shd w:val="clear" w:color="auto" w:fill="auto"/>
            <w:noWrap/>
            <w:vAlign w:val="bottom"/>
            <w:hideMark/>
          </w:tcPr>
          <w:p w14:paraId="381C9C40"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21.29</w:t>
            </w:r>
          </w:p>
        </w:tc>
        <w:tc>
          <w:tcPr>
            <w:tcW w:w="1942" w:type="dxa"/>
            <w:tcBorders>
              <w:top w:val="nil"/>
              <w:left w:val="nil"/>
              <w:bottom w:val="nil"/>
              <w:right w:val="nil"/>
            </w:tcBorders>
            <w:shd w:val="clear" w:color="auto" w:fill="auto"/>
            <w:noWrap/>
            <w:vAlign w:val="bottom"/>
            <w:hideMark/>
          </w:tcPr>
          <w:p w14:paraId="3CA319F1"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6.9%</w:t>
            </w:r>
          </w:p>
        </w:tc>
      </w:tr>
      <w:tr w:rsidR="00F97EFD" w:rsidRPr="00F97EFD" w14:paraId="08186BD1" w14:textId="77777777" w:rsidTr="00F97EFD">
        <w:trPr>
          <w:trHeight w:val="300"/>
        </w:trPr>
        <w:tc>
          <w:tcPr>
            <w:tcW w:w="2789" w:type="dxa"/>
            <w:gridSpan w:val="2"/>
            <w:tcBorders>
              <w:top w:val="nil"/>
              <w:left w:val="nil"/>
              <w:bottom w:val="nil"/>
              <w:right w:val="nil"/>
            </w:tcBorders>
            <w:shd w:val="clear" w:color="auto" w:fill="auto"/>
            <w:noWrap/>
            <w:vAlign w:val="bottom"/>
            <w:hideMark/>
          </w:tcPr>
          <w:p w14:paraId="6DFBFF86" w14:textId="77777777" w:rsidR="00F97EFD" w:rsidRPr="00F97EFD" w:rsidRDefault="00F97EFD" w:rsidP="00F97EFD">
            <w:pPr>
              <w:spacing w:after="0" w:line="240" w:lineRule="auto"/>
              <w:rPr>
                <w:rFonts w:ascii="Garamond" w:eastAsia="Times New Roman" w:hAnsi="Garamond" w:cs="Calibri"/>
                <w:sz w:val="20"/>
                <w:szCs w:val="20"/>
              </w:rPr>
            </w:pPr>
            <w:r w:rsidRPr="00F97EFD">
              <w:rPr>
                <w:rFonts w:ascii="Garamond" w:eastAsia="Times New Roman" w:hAnsi="Garamond" w:cs="Calibri"/>
                <w:sz w:val="20"/>
                <w:szCs w:val="20"/>
              </w:rPr>
              <w:t>Agrícola y bombeo</w:t>
            </w:r>
          </w:p>
        </w:tc>
        <w:tc>
          <w:tcPr>
            <w:tcW w:w="1295" w:type="dxa"/>
            <w:tcBorders>
              <w:top w:val="nil"/>
              <w:left w:val="nil"/>
              <w:bottom w:val="nil"/>
              <w:right w:val="nil"/>
            </w:tcBorders>
            <w:shd w:val="clear" w:color="auto" w:fill="auto"/>
            <w:noWrap/>
            <w:vAlign w:val="bottom"/>
            <w:hideMark/>
          </w:tcPr>
          <w:p w14:paraId="77869C88"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23.44</w:t>
            </w:r>
          </w:p>
        </w:tc>
        <w:tc>
          <w:tcPr>
            <w:tcW w:w="1666" w:type="dxa"/>
            <w:tcBorders>
              <w:top w:val="nil"/>
              <w:left w:val="nil"/>
              <w:bottom w:val="nil"/>
              <w:right w:val="nil"/>
            </w:tcBorders>
            <w:shd w:val="clear" w:color="auto" w:fill="auto"/>
            <w:noWrap/>
            <w:vAlign w:val="bottom"/>
            <w:hideMark/>
          </w:tcPr>
          <w:p w14:paraId="022FFA22"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2.00</w:t>
            </w:r>
          </w:p>
        </w:tc>
        <w:tc>
          <w:tcPr>
            <w:tcW w:w="1668" w:type="dxa"/>
            <w:tcBorders>
              <w:top w:val="nil"/>
              <w:left w:val="nil"/>
              <w:bottom w:val="nil"/>
              <w:right w:val="nil"/>
            </w:tcBorders>
            <w:shd w:val="clear" w:color="auto" w:fill="auto"/>
            <w:noWrap/>
            <w:vAlign w:val="bottom"/>
            <w:hideMark/>
          </w:tcPr>
          <w:p w14:paraId="059B8D0C"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25.44</w:t>
            </w:r>
          </w:p>
        </w:tc>
        <w:tc>
          <w:tcPr>
            <w:tcW w:w="1942" w:type="dxa"/>
            <w:tcBorders>
              <w:top w:val="nil"/>
              <w:left w:val="nil"/>
              <w:bottom w:val="nil"/>
              <w:right w:val="nil"/>
            </w:tcBorders>
            <w:shd w:val="clear" w:color="auto" w:fill="auto"/>
            <w:noWrap/>
            <w:vAlign w:val="bottom"/>
            <w:hideMark/>
          </w:tcPr>
          <w:p w14:paraId="3B7EBCA9"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8.5%</w:t>
            </w:r>
          </w:p>
        </w:tc>
      </w:tr>
      <w:tr w:rsidR="00F97EFD" w:rsidRPr="00F97EFD" w14:paraId="4AD85259" w14:textId="77777777" w:rsidTr="00F97EFD">
        <w:trPr>
          <w:trHeight w:val="300"/>
        </w:trPr>
        <w:tc>
          <w:tcPr>
            <w:tcW w:w="2789" w:type="dxa"/>
            <w:gridSpan w:val="2"/>
            <w:tcBorders>
              <w:top w:val="nil"/>
              <w:left w:val="nil"/>
              <w:bottom w:val="nil"/>
              <w:right w:val="nil"/>
            </w:tcBorders>
            <w:shd w:val="clear" w:color="auto" w:fill="auto"/>
            <w:noWrap/>
            <w:vAlign w:val="bottom"/>
            <w:hideMark/>
          </w:tcPr>
          <w:p w14:paraId="2BECDF9C" w14:textId="77777777" w:rsidR="00F97EFD" w:rsidRPr="00F97EFD" w:rsidRDefault="00F97EFD" w:rsidP="00F97EFD">
            <w:pPr>
              <w:spacing w:after="0" w:line="240" w:lineRule="auto"/>
              <w:rPr>
                <w:rFonts w:ascii="Garamond" w:eastAsia="Times New Roman" w:hAnsi="Garamond" w:cs="Calibri"/>
                <w:sz w:val="20"/>
                <w:szCs w:val="20"/>
              </w:rPr>
            </w:pPr>
            <w:r w:rsidRPr="00F97EFD">
              <w:rPr>
                <w:rFonts w:ascii="Garamond" w:eastAsia="Times New Roman" w:hAnsi="Garamond" w:cs="Calibri"/>
                <w:sz w:val="20"/>
                <w:szCs w:val="20"/>
              </w:rPr>
              <w:t>Iluminación de calles y áreas</w:t>
            </w:r>
          </w:p>
        </w:tc>
        <w:tc>
          <w:tcPr>
            <w:tcW w:w="1295" w:type="dxa"/>
            <w:tcBorders>
              <w:top w:val="nil"/>
              <w:left w:val="nil"/>
              <w:bottom w:val="nil"/>
              <w:right w:val="nil"/>
            </w:tcBorders>
            <w:shd w:val="clear" w:color="auto" w:fill="auto"/>
            <w:noWrap/>
            <w:vAlign w:val="bottom"/>
            <w:hideMark/>
          </w:tcPr>
          <w:p w14:paraId="394B1D5E"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29.11</w:t>
            </w:r>
          </w:p>
        </w:tc>
        <w:tc>
          <w:tcPr>
            <w:tcW w:w="1666" w:type="dxa"/>
            <w:tcBorders>
              <w:top w:val="nil"/>
              <w:left w:val="nil"/>
              <w:bottom w:val="nil"/>
              <w:right w:val="nil"/>
            </w:tcBorders>
            <w:shd w:val="clear" w:color="auto" w:fill="auto"/>
            <w:noWrap/>
            <w:vAlign w:val="bottom"/>
            <w:hideMark/>
          </w:tcPr>
          <w:p w14:paraId="11B273BF"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1.36</w:t>
            </w:r>
          </w:p>
        </w:tc>
        <w:tc>
          <w:tcPr>
            <w:tcW w:w="1668" w:type="dxa"/>
            <w:tcBorders>
              <w:top w:val="nil"/>
              <w:left w:val="nil"/>
              <w:bottom w:val="nil"/>
              <w:right w:val="nil"/>
            </w:tcBorders>
            <w:shd w:val="clear" w:color="auto" w:fill="auto"/>
            <w:noWrap/>
            <w:vAlign w:val="bottom"/>
            <w:hideMark/>
          </w:tcPr>
          <w:p w14:paraId="060F1CA3"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30.48</w:t>
            </w:r>
          </w:p>
        </w:tc>
        <w:tc>
          <w:tcPr>
            <w:tcW w:w="1942" w:type="dxa"/>
            <w:tcBorders>
              <w:top w:val="nil"/>
              <w:left w:val="nil"/>
              <w:bottom w:val="nil"/>
              <w:right w:val="nil"/>
            </w:tcBorders>
            <w:shd w:val="clear" w:color="auto" w:fill="auto"/>
            <w:noWrap/>
            <w:vAlign w:val="bottom"/>
            <w:hideMark/>
          </w:tcPr>
          <w:p w14:paraId="0CCA602D"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4.7%</w:t>
            </w:r>
          </w:p>
        </w:tc>
      </w:tr>
      <w:tr w:rsidR="00F97EFD" w:rsidRPr="00F97EFD" w14:paraId="2FE520D3" w14:textId="77777777" w:rsidTr="00F97EFD">
        <w:trPr>
          <w:trHeight w:val="300"/>
        </w:trPr>
        <w:tc>
          <w:tcPr>
            <w:tcW w:w="2789" w:type="dxa"/>
            <w:gridSpan w:val="2"/>
            <w:tcBorders>
              <w:top w:val="nil"/>
              <w:left w:val="nil"/>
              <w:bottom w:val="single" w:sz="4" w:space="0" w:color="auto"/>
              <w:right w:val="nil"/>
            </w:tcBorders>
            <w:shd w:val="clear" w:color="auto" w:fill="auto"/>
            <w:noWrap/>
            <w:vAlign w:val="bottom"/>
            <w:hideMark/>
          </w:tcPr>
          <w:p w14:paraId="67DBFC6B" w14:textId="77777777" w:rsidR="00F97EFD" w:rsidRPr="00F97EFD" w:rsidRDefault="00F97EFD" w:rsidP="00F97EFD">
            <w:pPr>
              <w:spacing w:after="0" w:line="240" w:lineRule="auto"/>
              <w:rPr>
                <w:rFonts w:ascii="Garamond" w:eastAsia="Times New Roman" w:hAnsi="Garamond" w:cs="Calibri"/>
                <w:sz w:val="20"/>
                <w:szCs w:val="20"/>
              </w:rPr>
            </w:pPr>
            <w:proofErr w:type="spellStart"/>
            <w:r w:rsidRPr="00F97EFD">
              <w:rPr>
                <w:rFonts w:ascii="Garamond" w:eastAsia="Times New Roman" w:hAnsi="Garamond" w:cs="Calibri"/>
                <w:sz w:val="20"/>
                <w:szCs w:val="20"/>
              </w:rPr>
              <w:t>Standby</w:t>
            </w:r>
            <w:proofErr w:type="spellEnd"/>
          </w:p>
        </w:tc>
        <w:tc>
          <w:tcPr>
            <w:tcW w:w="1295" w:type="dxa"/>
            <w:tcBorders>
              <w:top w:val="nil"/>
              <w:left w:val="nil"/>
              <w:bottom w:val="single" w:sz="4" w:space="0" w:color="auto"/>
              <w:right w:val="nil"/>
            </w:tcBorders>
            <w:shd w:val="clear" w:color="auto" w:fill="auto"/>
            <w:noWrap/>
            <w:vAlign w:val="bottom"/>
            <w:hideMark/>
          </w:tcPr>
          <w:p w14:paraId="7D6F77C6"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17.24</w:t>
            </w:r>
          </w:p>
        </w:tc>
        <w:tc>
          <w:tcPr>
            <w:tcW w:w="1666" w:type="dxa"/>
            <w:tcBorders>
              <w:top w:val="nil"/>
              <w:left w:val="nil"/>
              <w:bottom w:val="single" w:sz="4" w:space="0" w:color="auto"/>
              <w:right w:val="nil"/>
            </w:tcBorders>
            <w:shd w:val="clear" w:color="auto" w:fill="auto"/>
            <w:noWrap/>
            <w:vAlign w:val="bottom"/>
            <w:hideMark/>
          </w:tcPr>
          <w:p w14:paraId="3852DE24"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1.07</w:t>
            </w:r>
          </w:p>
        </w:tc>
        <w:tc>
          <w:tcPr>
            <w:tcW w:w="1668" w:type="dxa"/>
            <w:tcBorders>
              <w:top w:val="nil"/>
              <w:left w:val="nil"/>
              <w:bottom w:val="single" w:sz="4" w:space="0" w:color="auto"/>
              <w:right w:val="nil"/>
            </w:tcBorders>
            <w:shd w:val="clear" w:color="auto" w:fill="auto"/>
            <w:noWrap/>
            <w:vAlign w:val="bottom"/>
            <w:hideMark/>
          </w:tcPr>
          <w:p w14:paraId="5E20E49E"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18.31</w:t>
            </w:r>
          </w:p>
        </w:tc>
        <w:tc>
          <w:tcPr>
            <w:tcW w:w="1942" w:type="dxa"/>
            <w:tcBorders>
              <w:top w:val="nil"/>
              <w:left w:val="nil"/>
              <w:bottom w:val="single" w:sz="4" w:space="0" w:color="auto"/>
              <w:right w:val="nil"/>
            </w:tcBorders>
            <w:shd w:val="clear" w:color="auto" w:fill="auto"/>
            <w:noWrap/>
            <w:vAlign w:val="bottom"/>
            <w:hideMark/>
          </w:tcPr>
          <w:p w14:paraId="2EEF5D90"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6.2%</w:t>
            </w:r>
          </w:p>
        </w:tc>
      </w:tr>
      <w:tr w:rsidR="00F97EFD" w:rsidRPr="00F97EFD" w14:paraId="0B206D08" w14:textId="77777777" w:rsidTr="00F97EFD">
        <w:trPr>
          <w:trHeight w:val="300"/>
        </w:trPr>
        <w:tc>
          <w:tcPr>
            <w:tcW w:w="2789" w:type="dxa"/>
            <w:gridSpan w:val="2"/>
            <w:tcBorders>
              <w:top w:val="single" w:sz="4" w:space="0" w:color="auto"/>
              <w:left w:val="nil"/>
              <w:bottom w:val="nil"/>
              <w:right w:val="nil"/>
            </w:tcBorders>
            <w:shd w:val="clear" w:color="000000" w:fill="FFC000"/>
            <w:noWrap/>
            <w:vAlign w:val="bottom"/>
            <w:hideMark/>
          </w:tcPr>
          <w:p w14:paraId="04290B62" w14:textId="77777777" w:rsidR="00F97EFD" w:rsidRPr="00F97EFD" w:rsidRDefault="00F97EFD" w:rsidP="00F97EFD">
            <w:pPr>
              <w:spacing w:after="0" w:line="240" w:lineRule="auto"/>
              <w:rPr>
                <w:rFonts w:ascii="Garamond" w:eastAsia="Times New Roman" w:hAnsi="Garamond" w:cs="Calibri"/>
                <w:b/>
                <w:bCs/>
                <w:sz w:val="20"/>
                <w:szCs w:val="20"/>
              </w:rPr>
            </w:pPr>
            <w:r w:rsidRPr="00F97EFD">
              <w:rPr>
                <w:rFonts w:ascii="Garamond" w:eastAsia="Times New Roman" w:hAnsi="Garamond" w:cs="Calibri"/>
                <w:b/>
                <w:bCs/>
                <w:sz w:val="20"/>
                <w:szCs w:val="20"/>
              </w:rPr>
              <w:t>Total</w:t>
            </w:r>
          </w:p>
        </w:tc>
        <w:tc>
          <w:tcPr>
            <w:tcW w:w="1295" w:type="dxa"/>
            <w:tcBorders>
              <w:top w:val="nil"/>
              <w:left w:val="nil"/>
              <w:bottom w:val="nil"/>
              <w:right w:val="nil"/>
            </w:tcBorders>
            <w:shd w:val="clear" w:color="000000" w:fill="FFC000"/>
            <w:noWrap/>
            <w:vAlign w:val="bottom"/>
            <w:hideMark/>
          </w:tcPr>
          <w:p w14:paraId="35A66214" w14:textId="77777777" w:rsidR="00F97EFD" w:rsidRPr="00F97EFD" w:rsidRDefault="00F97EFD" w:rsidP="00F97EFD">
            <w:pPr>
              <w:spacing w:after="0" w:line="240" w:lineRule="auto"/>
              <w:jc w:val="center"/>
              <w:rPr>
                <w:rFonts w:ascii="Garamond" w:eastAsia="Times New Roman" w:hAnsi="Garamond" w:cs="Calibri"/>
                <w:b/>
                <w:bCs/>
                <w:sz w:val="20"/>
                <w:szCs w:val="20"/>
              </w:rPr>
            </w:pPr>
            <w:r w:rsidRPr="00F97EFD">
              <w:rPr>
                <w:rFonts w:ascii="Garamond" w:eastAsia="Times New Roman" w:hAnsi="Garamond" w:cs="Calibri"/>
                <w:b/>
                <w:bCs/>
                <w:sz w:val="20"/>
                <w:szCs w:val="20"/>
              </w:rPr>
              <w:t>27.11</w:t>
            </w:r>
          </w:p>
        </w:tc>
        <w:tc>
          <w:tcPr>
            <w:tcW w:w="1666" w:type="dxa"/>
            <w:tcBorders>
              <w:top w:val="nil"/>
              <w:left w:val="nil"/>
              <w:bottom w:val="nil"/>
              <w:right w:val="nil"/>
            </w:tcBorders>
            <w:shd w:val="clear" w:color="000000" w:fill="FFC000"/>
            <w:noWrap/>
            <w:vAlign w:val="bottom"/>
            <w:hideMark/>
          </w:tcPr>
          <w:p w14:paraId="4B0D6AF0" w14:textId="77777777" w:rsidR="00F97EFD" w:rsidRPr="00F97EFD" w:rsidRDefault="00F97EFD" w:rsidP="00F97EFD">
            <w:pPr>
              <w:spacing w:after="0" w:line="240" w:lineRule="auto"/>
              <w:jc w:val="center"/>
              <w:rPr>
                <w:rFonts w:ascii="Garamond" w:eastAsia="Times New Roman" w:hAnsi="Garamond" w:cs="Calibri"/>
                <w:b/>
                <w:bCs/>
                <w:sz w:val="20"/>
                <w:szCs w:val="20"/>
              </w:rPr>
            </w:pPr>
            <w:r w:rsidRPr="00F97EFD">
              <w:rPr>
                <w:rFonts w:ascii="Garamond" w:eastAsia="Times New Roman" w:hAnsi="Garamond" w:cs="Calibri"/>
                <w:b/>
                <w:bCs/>
                <w:sz w:val="20"/>
                <w:szCs w:val="20"/>
              </w:rPr>
              <w:t>2.45</w:t>
            </w:r>
          </w:p>
        </w:tc>
        <w:tc>
          <w:tcPr>
            <w:tcW w:w="1668" w:type="dxa"/>
            <w:tcBorders>
              <w:top w:val="nil"/>
              <w:left w:val="nil"/>
              <w:bottom w:val="nil"/>
              <w:right w:val="nil"/>
            </w:tcBorders>
            <w:shd w:val="clear" w:color="000000" w:fill="FFC000"/>
            <w:noWrap/>
            <w:vAlign w:val="bottom"/>
            <w:hideMark/>
          </w:tcPr>
          <w:p w14:paraId="5CCC5293" w14:textId="77777777" w:rsidR="00F97EFD" w:rsidRPr="00F97EFD" w:rsidRDefault="00F97EFD" w:rsidP="00F97EFD">
            <w:pPr>
              <w:spacing w:after="0" w:line="240" w:lineRule="auto"/>
              <w:jc w:val="center"/>
              <w:rPr>
                <w:rFonts w:ascii="Garamond" w:eastAsia="Times New Roman" w:hAnsi="Garamond" w:cs="Calibri"/>
                <w:b/>
                <w:bCs/>
                <w:sz w:val="20"/>
                <w:szCs w:val="20"/>
              </w:rPr>
            </w:pPr>
            <w:r w:rsidRPr="00F97EFD">
              <w:rPr>
                <w:rFonts w:ascii="Garamond" w:eastAsia="Times New Roman" w:hAnsi="Garamond" w:cs="Calibri"/>
                <w:b/>
                <w:bCs/>
                <w:sz w:val="20"/>
                <w:szCs w:val="20"/>
              </w:rPr>
              <w:t>29.56</w:t>
            </w:r>
          </w:p>
        </w:tc>
        <w:tc>
          <w:tcPr>
            <w:tcW w:w="1942" w:type="dxa"/>
            <w:tcBorders>
              <w:top w:val="nil"/>
              <w:left w:val="nil"/>
              <w:bottom w:val="nil"/>
              <w:right w:val="nil"/>
            </w:tcBorders>
            <w:shd w:val="clear" w:color="000000" w:fill="FFC000"/>
            <w:noWrap/>
            <w:vAlign w:val="bottom"/>
            <w:hideMark/>
          </w:tcPr>
          <w:p w14:paraId="2588C5FE" w14:textId="77777777" w:rsidR="00F97EFD" w:rsidRPr="00F97EFD" w:rsidRDefault="00F97EFD" w:rsidP="00F97EFD">
            <w:pPr>
              <w:spacing w:after="0" w:line="240" w:lineRule="auto"/>
              <w:jc w:val="center"/>
              <w:rPr>
                <w:rFonts w:ascii="Garamond" w:eastAsia="Times New Roman" w:hAnsi="Garamond" w:cs="Calibri"/>
                <w:b/>
                <w:bCs/>
                <w:sz w:val="20"/>
                <w:szCs w:val="20"/>
              </w:rPr>
            </w:pPr>
            <w:r w:rsidRPr="00F97EFD">
              <w:rPr>
                <w:rFonts w:ascii="Garamond" w:eastAsia="Times New Roman" w:hAnsi="Garamond" w:cs="Calibri"/>
                <w:b/>
                <w:bCs/>
                <w:sz w:val="20"/>
                <w:szCs w:val="20"/>
              </w:rPr>
              <w:t>9.0%</w:t>
            </w:r>
          </w:p>
        </w:tc>
      </w:tr>
      <w:tr w:rsidR="00F97EFD" w:rsidRPr="00F97EFD" w14:paraId="678263D0" w14:textId="77777777" w:rsidTr="00F97EFD">
        <w:trPr>
          <w:trHeight w:val="300"/>
        </w:trPr>
        <w:tc>
          <w:tcPr>
            <w:tcW w:w="1394" w:type="dxa"/>
            <w:tcBorders>
              <w:top w:val="nil"/>
              <w:left w:val="nil"/>
              <w:bottom w:val="nil"/>
              <w:right w:val="nil"/>
            </w:tcBorders>
            <w:shd w:val="clear" w:color="auto" w:fill="auto"/>
            <w:noWrap/>
            <w:vAlign w:val="bottom"/>
            <w:hideMark/>
          </w:tcPr>
          <w:p w14:paraId="76037184" w14:textId="77777777" w:rsidR="00F97EFD" w:rsidRPr="00F97EFD" w:rsidRDefault="00F97EFD" w:rsidP="00F97EFD">
            <w:pPr>
              <w:spacing w:after="0" w:line="240" w:lineRule="auto"/>
              <w:jc w:val="center"/>
              <w:rPr>
                <w:rFonts w:ascii="Garamond" w:eastAsia="Times New Roman" w:hAnsi="Garamond" w:cs="Calibri"/>
                <w:b/>
                <w:bCs/>
                <w:sz w:val="22"/>
                <w:szCs w:val="22"/>
              </w:rPr>
            </w:pPr>
          </w:p>
        </w:tc>
        <w:tc>
          <w:tcPr>
            <w:tcW w:w="1395" w:type="dxa"/>
            <w:tcBorders>
              <w:top w:val="nil"/>
              <w:left w:val="nil"/>
              <w:bottom w:val="nil"/>
              <w:right w:val="nil"/>
            </w:tcBorders>
            <w:shd w:val="clear" w:color="auto" w:fill="auto"/>
            <w:noWrap/>
            <w:vAlign w:val="bottom"/>
            <w:hideMark/>
          </w:tcPr>
          <w:p w14:paraId="7D26DC32" w14:textId="77777777" w:rsidR="00F97EFD" w:rsidRPr="00F97EFD" w:rsidRDefault="00F97EFD" w:rsidP="00F97EFD">
            <w:pPr>
              <w:spacing w:after="0" w:line="240" w:lineRule="auto"/>
              <w:rPr>
                <w:rFonts w:eastAsia="Times New Roman"/>
                <w:sz w:val="20"/>
                <w:szCs w:val="20"/>
              </w:rPr>
            </w:pPr>
          </w:p>
        </w:tc>
        <w:tc>
          <w:tcPr>
            <w:tcW w:w="1295" w:type="dxa"/>
            <w:tcBorders>
              <w:top w:val="nil"/>
              <w:left w:val="nil"/>
              <w:bottom w:val="nil"/>
              <w:right w:val="nil"/>
            </w:tcBorders>
            <w:shd w:val="clear" w:color="auto" w:fill="auto"/>
            <w:noWrap/>
            <w:vAlign w:val="bottom"/>
            <w:hideMark/>
          </w:tcPr>
          <w:p w14:paraId="56DA651F" w14:textId="77777777" w:rsidR="00F97EFD" w:rsidRPr="00F97EFD" w:rsidRDefault="00F97EFD" w:rsidP="00F97EFD">
            <w:pPr>
              <w:spacing w:after="0" w:line="240" w:lineRule="auto"/>
              <w:rPr>
                <w:rFonts w:eastAsia="Times New Roman"/>
                <w:sz w:val="20"/>
                <w:szCs w:val="20"/>
              </w:rPr>
            </w:pPr>
          </w:p>
        </w:tc>
        <w:tc>
          <w:tcPr>
            <w:tcW w:w="1666" w:type="dxa"/>
            <w:tcBorders>
              <w:top w:val="nil"/>
              <w:left w:val="nil"/>
              <w:bottom w:val="nil"/>
              <w:right w:val="nil"/>
            </w:tcBorders>
            <w:shd w:val="clear" w:color="auto" w:fill="auto"/>
            <w:noWrap/>
            <w:vAlign w:val="bottom"/>
            <w:hideMark/>
          </w:tcPr>
          <w:p w14:paraId="136632F3" w14:textId="77777777" w:rsidR="00F97EFD" w:rsidRPr="00F97EFD" w:rsidRDefault="00F97EFD" w:rsidP="00F97EFD">
            <w:pPr>
              <w:spacing w:after="0" w:line="240" w:lineRule="auto"/>
              <w:rPr>
                <w:rFonts w:eastAsia="Times New Roman"/>
                <w:sz w:val="20"/>
                <w:szCs w:val="20"/>
              </w:rPr>
            </w:pPr>
          </w:p>
        </w:tc>
        <w:tc>
          <w:tcPr>
            <w:tcW w:w="1668" w:type="dxa"/>
            <w:tcBorders>
              <w:top w:val="nil"/>
              <w:left w:val="nil"/>
              <w:bottom w:val="nil"/>
              <w:right w:val="nil"/>
            </w:tcBorders>
            <w:shd w:val="clear" w:color="auto" w:fill="auto"/>
            <w:noWrap/>
            <w:vAlign w:val="bottom"/>
            <w:hideMark/>
          </w:tcPr>
          <w:p w14:paraId="52BD6234" w14:textId="77777777" w:rsidR="00F97EFD" w:rsidRPr="00F97EFD" w:rsidRDefault="00F97EFD" w:rsidP="00F97EFD">
            <w:pPr>
              <w:spacing w:after="0" w:line="240" w:lineRule="auto"/>
              <w:rPr>
                <w:rFonts w:eastAsia="Times New Roman"/>
                <w:sz w:val="20"/>
                <w:szCs w:val="20"/>
              </w:rPr>
            </w:pPr>
          </w:p>
        </w:tc>
        <w:tc>
          <w:tcPr>
            <w:tcW w:w="1942" w:type="dxa"/>
            <w:tcBorders>
              <w:top w:val="nil"/>
              <w:left w:val="nil"/>
              <w:bottom w:val="nil"/>
              <w:right w:val="nil"/>
            </w:tcBorders>
            <w:shd w:val="clear" w:color="auto" w:fill="auto"/>
            <w:noWrap/>
            <w:vAlign w:val="bottom"/>
            <w:hideMark/>
          </w:tcPr>
          <w:p w14:paraId="466D3B22" w14:textId="77777777" w:rsidR="00F97EFD" w:rsidRPr="00F97EFD" w:rsidRDefault="00F97EFD" w:rsidP="00F97EFD">
            <w:pPr>
              <w:spacing w:after="0" w:line="240" w:lineRule="auto"/>
              <w:rPr>
                <w:rFonts w:eastAsia="Times New Roman"/>
                <w:sz w:val="20"/>
                <w:szCs w:val="20"/>
              </w:rPr>
            </w:pPr>
          </w:p>
        </w:tc>
      </w:tr>
      <w:tr w:rsidR="00F97EFD" w:rsidRPr="00F97EFD" w14:paraId="69238384" w14:textId="77777777" w:rsidTr="00F97EFD">
        <w:trPr>
          <w:trHeight w:val="300"/>
        </w:trPr>
        <w:tc>
          <w:tcPr>
            <w:tcW w:w="9360" w:type="dxa"/>
            <w:gridSpan w:val="6"/>
            <w:tcBorders>
              <w:top w:val="nil"/>
              <w:left w:val="nil"/>
              <w:bottom w:val="nil"/>
              <w:right w:val="nil"/>
            </w:tcBorders>
            <w:shd w:val="clear" w:color="000000" w:fill="000000"/>
            <w:noWrap/>
            <w:vAlign w:val="bottom"/>
            <w:hideMark/>
          </w:tcPr>
          <w:p w14:paraId="103C01F3" w14:textId="77777777" w:rsidR="00F97EFD" w:rsidRPr="00F97EFD" w:rsidRDefault="00F97EFD" w:rsidP="00F97EFD">
            <w:pPr>
              <w:spacing w:after="0" w:line="240" w:lineRule="auto"/>
              <w:rPr>
                <w:rFonts w:ascii="Garamond" w:eastAsia="Times New Roman" w:hAnsi="Garamond" w:cs="Calibri"/>
                <w:b/>
                <w:bCs/>
                <w:color w:val="FFFFFF"/>
                <w:sz w:val="22"/>
                <w:szCs w:val="22"/>
              </w:rPr>
            </w:pPr>
            <w:r w:rsidRPr="00F97EFD">
              <w:rPr>
                <w:rFonts w:ascii="Garamond" w:eastAsia="Times New Roman" w:hAnsi="Garamond" w:cs="Calibri"/>
                <w:b/>
                <w:bCs/>
                <w:color w:val="FFFFFF"/>
                <w:sz w:val="22"/>
                <w:szCs w:val="22"/>
              </w:rPr>
              <w:t>Impacto en la factura residencial ($/</w:t>
            </w:r>
            <w:proofErr w:type="gramStart"/>
            <w:r w:rsidRPr="00F97EFD">
              <w:rPr>
                <w:rFonts w:ascii="Garamond" w:eastAsia="Times New Roman" w:hAnsi="Garamond" w:cs="Calibri"/>
                <w:b/>
                <w:bCs/>
                <w:color w:val="FFFFFF"/>
                <w:sz w:val="22"/>
                <w:szCs w:val="22"/>
              </w:rPr>
              <w:t>mes)*</w:t>
            </w:r>
            <w:proofErr w:type="gramEnd"/>
          </w:p>
        </w:tc>
      </w:tr>
      <w:tr w:rsidR="00F97EFD" w:rsidRPr="00F97EFD" w14:paraId="16C7A72B" w14:textId="77777777" w:rsidTr="00F97EFD">
        <w:trPr>
          <w:trHeight w:val="600"/>
        </w:trPr>
        <w:tc>
          <w:tcPr>
            <w:tcW w:w="2789" w:type="dxa"/>
            <w:gridSpan w:val="2"/>
            <w:tcBorders>
              <w:top w:val="nil"/>
              <w:left w:val="nil"/>
              <w:bottom w:val="single" w:sz="4" w:space="0" w:color="auto"/>
              <w:right w:val="nil"/>
            </w:tcBorders>
            <w:shd w:val="clear" w:color="000000" w:fill="F2F2F2"/>
            <w:noWrap/>
            <w:vAlign w:val="center"/>
            <w:hideMark/>
          </w:tcPr>
          <w:p w14:paraId="127960A8" w14:textId="77777777" w:rsidR="00F97EFD" w:rsidRPr="00F97EFD" w:rsidRDefault="00F97EFD" w:rsidP="00F97EFD">
            <w:pPr>
              <w:spacing w:after="0" w:line="240" w:lineRule="auto"/>
              <w:rPr>
                <w:rFonts w:ascii="Garamond" w:eastAsia="Times New Roman" w:hAnsi="Garamond" w:cs="Calibri"/>
                <w:b/>
                <w:bCs/>
                <w:sz w:val="20"/>
                <w:szCs w:val="20"/>
              </w:rPr>
            </w:pPr>
            <w:r w:rsidRPr="00F97EFD">
              <w:rPr>
                <w:rFonts w:ascii="Garamond" w:eastAsia="Times New Roman" w:hAnsi="Garamond" w:cs="Calibri"/>
                <w:b/>
                <w:bCs/>
                <w:sz w:val="20"/>
                <w:szCs w:val="20"/>
              </w:rPr>
              <w:t>Descripción</w:t>
            </w:r>
          </w:p>
        </w:tc>
        <w:tc>
          <w:tcPr>
            <w:tcW w:w="1295" w:type="dxa"/>
            <w:tcBorders>
              <w:top w:val="nil"/>
              <w:left w:val="nil"/>
              <w:bottom w:val="single" w:sz="4" w:space="0" w:color="auto"/>
              <w:right w:val="nil"/>
            </w:tcBorders>
            <w:shd w:val="clear" w:color="000000" w:fill="F2F2F2"/>
            <w:vAlign w:val="center"/>
            <w:hideMark/>
          </w:tcPr>
          <w:p w14:paraId="557DD09E" w14:textId="77777777" w:rsidR="00F97EFD" w:rsidRPr="00F97EFD" w:rsidRDefault="00F97EFD" w:rsidP="00E5795A">
            <w:pPr>
              <w:spacing w:after="0" w:line="240" w:lineRule="auto"/>
              <w:jc w:val="center"/>
              <w:rPr>
                <w:rFonts w:ascii="Garamond" w:eastAsia="Times New Roman" w:hAnsi="Garamond" w:cs="Calibri"/>
                <w:b/>
                <w:bCs/>
                <w:sz w:val="20"/>
                <w:szCs w:val="20"/>
              </w:rPr>
            </w:pPr>
            <w:r w:rsidRPr="00F97EFD">
              <w:rPr>
                <w:rFonts w:ascii="Garamond" w:eastAsia="Times New Roman" w:hAnsi="Garamond" w:cs="Calibri"/>
                <w:b/>
                <w:bCs/>
                <w:sz w:val="20"/>
                <w:szCs w:val="20"/>
              </w:rPr>
              <w:t>2024**</w:t>
            </w:r>
          </w:p>
        </w:tc>
        <w:tc>
          <w:tcPr>
            <w:tcW w:w="1666" w:type="dxa"/>
            <w:tcBorders>
              <w:top w:val="nil"/>
              <w:left w:val="nil"/>
              <w:bottom w:val="single" w:sz="4" w:space="0" w:color="auto"/>
              <w:right w:val="nil"/>
            </w:tcBorders>
            <w:shd w:val="clear" w:color="000000" w:fill="F2F2F2"/>
            <w:vAlign w:val="bottom"/>
            <w:hideMark/>
          </w:tcPr>
          <w:p w14:paraId="56B91118" w14:textId="77777777" w:rsidR="00F97EFD" w:rsidRPr="00F97EFD" w:rsidRDefault="00F97EFD" w:rsidP="00E5795A">
            <w:pPr>
              <w:spacing w:after="0" w:line="240" w:lineRule="auto"/>
              <w:jc w:val="center"/>
              <w:rPr>
                <w:rFonts w:ascii="Garamond" w:eastAsia="Times New Roman" w:hAnsi="Garamond" w:cs="Calibri"/>
                <w:b/>
                <w:bCs/>
                <w:sz w:val="20"/>
                <w:szCs w:val="20"/>
              </w:rPr>
            </w:pPr>
            <w:r w:rsidRPr="00F97EFD">
              <w:rPr>
                <w:rFonts w:ascii="Garamond" w:eastAsia="Times New Roman" w:hAnsi="Garamond" w:cs="Calibri"/>
                <w:b/>
                <w:bCs/>
                <w:sz w:val="20"/>
                <w:szCs w:val="20"/>
              </w:rPr>
              <w:t>Cambio solicitado</w:t>
            </w:r>
          </w:p>
        </w:tc>
        <w:tc>
          <w:tcPr>
            <w:tcW w:w="1668" w:type="dxa"/>
            <w:tcBorders>
              <w:top w:val="nil"/>
              <w:left w:val="nil"/>
              <w:bottom w:val="single" w:sz="4" w:space="0" w:color="auto"/>
              <w:right w:val="nil"/>
            </w:tcBorders>
            <w:shd w:val="clear" w:color="000000" w:fill="F2F2F2"/>
            <w:vAlign w:val="center"/>
            <w:hideMark/>
          </w:tcPr>
          <w:p w14:paraId="14D19B71" w14:textId="77777777" w:rsidR="00F97EFD" w:rsidRPr="00F97EFD" w:rsidRDefault="00F97EFD" w:rsidP="00E5795A">
            <w:pPr>
              <w:spacing w:after="0" w:line="240" w:lineRule="auto"/>
              <w:jc w:val="center"/>
              <w:rPr>
                <w:rFonts w:ascii="Garamond" w:eastAsia="Times New Roman" w:hAnsi="Garamond" w:cs="Calibri"/>
                <w:b/>
                <w:bCs/>
                <w:sz w:val="20"/>
                <w:szCs w:val="20"/>
              </w:rPr>
            </w:pPr>
            <w:r w:rsidRPr="00F97EFD">
              <w:rPr>
                <w:rFonts w:ascii="Garamond" w:eastAsia="Times New Roman" w:hAnsi="Garamond" w:cs="Calibri"/>
                <w:b/>
                <w:bCs/>
                <w:sz w:val="20"/>
                <w:szCs w:val="20"/>
              </w:rPr>
              <w:t>Solicitada</w:t>
            </w:r>
          </w:p>
        </w:tc>
        <w:tc>
          <w:tcPr>
            <w:tcW w:w="1942" w:type="dxa"/>
            <w:tcBorders>
              <w:top w:val="nil"/>
              <w:left w:val="nil"/>
              <w:bottom w:val="single" w:sz="4" w:space="0" w:color="auto"/>
              <w:right w:val="nil"/>
            </w:tcBorders>
            <w:shd w:val="clear" w:color="000000" w:fill="F2F2F2"/>
            <w:vAlign w:val="center"/>
            <w:hideMark/>
          </w:tcPr>
          <w:p w14:paraId="4844E9BC" w14:textId="77777777" w:rsidR="00F97EFD" w:rsidRPr="00F97EFD" w:rsidRDefault="00F97EFD" w:rsidP="00E5795A">
            <w:pPr>
              <w:spacing w:after="0" w:line="240" w:lineRule="auto"/>
              <w:jc w:val="center"/>
              <w:rPr>
                <w:rFonts w:ascii="Garamond" w:eastAsia="Times New Roman" w:hAnsi="Garamond" w:cs="Calibri"/>
                <w:b/>
                <w:bCs/>
                <w:sz w:val="20"/>
                <w:szCs w:val="20"/>
              </w:rPr>
            </w:pPr>
            <w:r w:rsidRPr="00F97EFD">
              <w:rPr>
                <w:rFonts w:ascii="Garamond" w:eastAsia="Times New Roman" w:hAnsi="Garamond" w:cs="Calibri"/>
                <w:b/>
                <w:bCs/>
                <w:sz w:val="20"/>
                <w:szCs w:val="20"/>
              </w:rPr>
              <w:t>% de cambio***</w:t>
            </w:r>
          </w:p>
        </w:tc>
      </w:tr>
      <w:tr w:rsidR="00F97EFD" w:rsidRPr="00F97EFD" w14:paraId="7242668D" w14:textId="77777777" w:rsidTr="00F97EFD">
        <w:trPr>
          <w:trHeight w:val="300"/>
        </w:trPr>
        <w:tc>
          <w:tcPr>
            <w:tcW w:w="2789" w:type="dxa"/>
            <w:gridSpan w:val="2"/>
            <w:tcBorders>
              <w:top w:val="single" w:sz="4" w:space="0" w:color="auto"/>
              <w:left w:val="nil"/>
              <w:bottom w:val="nil"/>
              <w:right w:val="nil"/>
            </w:tcBorders>
            <w:shd w:val="clear" w:color="auto" w:fill="auto"/>
            <w:noWrap/>
            <w:vAlign w:val="bottom"/>
            <w:hideMark/>
          </w:tcPr>
          <w:p w14:paraId="0464D63F" w14:textId="77777777" w:rsidR="00F97EFD" w:rsidRPr="00F97EFD" w:rsidRDefault="00F97EFD" w:rsidP="00F97EFD">
            <w:pPr>
              <w:spacing w:after="0" w:line="240" w:lineRule="auto"/>
              <w:rPr>
                <w:rFonts w:ascii="Garamond" w:eastAsia="Times New Roman" w:hAnsi="Garamond" w:cs="Calibri"/>
                <w:sz w:val="20"/>
                <w:szCs w:val="20"/>
              </w:rPr>
            </w:pPr>
            <w:r w:rsidRPr="00F97EFD">
              <w:rPr>
                <w:rFonts w:ascii="Garamond" w:eastAsia="Times New Roman" w:hAnsi="Garamond" w:cs="Calibri"/>
                <w:sz w:val="20"/>
                <w:szCs w:val="20"/>
              </w:rPr>
              <w:t>Factura residencial no inscripta en CARE</w:t>
            </w:r>
          </w:p>
        </w:tc>
        <w:tc>
          <w:tcPr>
            <w:tcW w:w="1295" w:type="dxa"/>
            <w:tcBorders>
              <w:top w:val="nil"/>
              <w:left w:val="nil"/>
              <w:bottom w:val="nil"/>
              <w:right w:val="nil"/>
            </w:tcBorders>
            <w:shd w:val="clear" w:color="auto" w:fill="auto"/>
            <w:noWrap/>
            <w:vAlign w:val="bottom"/>
            <w:hideMark/>
          </w:tcPr>
          <w:p w14:paraId="2B7BD627"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 xml:space="preserve">$170.39 </w:t>
            </w:r>
          </w:p>
        </w:tc>
        <w:tc>
          <w:tcPr>
            <w:tcW w:w="1666" w:type="dxa"/>
            <w:tcBorders>
              <w:top w:val="nil"/>
              <w:left w:val="nil"/>
              <w:bottom w:val="nil"/>
              <w:right w:val="nil"/>
            </w:tcBorders>
            <w:shd w:val="clear" w:color="auto" w:fill="auto"/>
            <w:noWrap/>
            <w:vAlign w:val="bottom"/>
            <w:hideMark/>
          </w:tcPr>
          <w:p w14:paraId="48D35089" w14:textId="77777777" w:rsidR="00F97EFD" w:rsidRPr="00F97EFD" w:rsidRDefault="00F97EFD" w:rsidP="00F97EFD">
            <w:pPr>
              <w:spacing w:after="0" w:line="240" w:lineRule="auto"/>
              <w:jc w:val="right"/>
              <w:rPr>
                <w:rFonts w:ascii="Garamond" w:eastAsia="Times New Roman" w:hAnsi="Garamond" w:cs="Calibri"/>
                <w:sz w:val="20"/>
                <w:szCs w:val="20"/>
              </w:rPr>
            </w:pPr>
            <w:r w:rsidRPr="00F97EFD">
              <w:rPr>
                <w:rFonts w:ascii="Garamond" w:eastAsia="Times New Roman" w:hAnsi="Garamond" w:cs="Calibri"/>
                <w:sz w:val="20"/>
                <w:szCs w:val="20"/>
              </w:rPr>
              <w:t xml:space="preserve">$17.49 </w:t>
            </w:r>
          </w:p>
        </w:tc>
        <w:tc>
          <w:tcPr>
            <w:tcW w:w="1668" w:type="dxa"/>
            <w:tcBorders>
              <w:top w:val="nil"/>
              <w:left w:val="nil"/>
              <w:bottom w:val="nil"/>
              <w:right w:val="nil"/>
            </w:tcBorders>
            <w:shd w:val="clear" w:color="auto" w:fill="auto"/>
            <w:noWrap/>
            <w:vAlign w:val="bottom"/>
            <w:hideMark/>
          </w:tcPr>
          <w:p w14:paraId="6DC584B6"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 xml:space="preserve">$187.88 </w:t>
            </w:r>
          </w:p>
        </w:tc>
        <w:tc>
          <w:tcPr>
            <w:tcW w:w="1942" w:type="dxa"/>
            <w:tcBorders>
              <w:top w:val="nil"/>
              <w:left w:val="nil"/>
              <w:bottom w:val="nil"/>
              <w:right w:val="nil"/>
            </w:tcBorders>
            <w:shd w:val="clear" w:color="auto" w:fill="auto"/>
            <w:noWrap/>
            <w:vAlign w:val="bottom"/>
            <w:hideMark/>
          </w:tcPr>
          <w:p w14:paraId="4D813E5D"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10.3%</w:t>
            </w:r>
          </w:p>
        </w:tc>
      </w:tr>
      <w:tr w:rsidR="00F97EFD" w:rsidRPr="00F97EFD" w14:paraId="353E8E14" w14:textId="77777777" w:rsidTr="00F97EFD">
        <w:trPr>
          <w:trHeight w:val="315"/>
        </w:trPr>
        <w:tc>
          <w:tcPr>
            <w:tcW w:w="2789" w:type="dxa"/>
            <w:gridSpan w:val="2"/>
            <w:tcBorders>
              <w:top w:val="nil"/>
              <w:left w:val="nil"/>
              <w:bottom w:val="single" w:sz="8" w:space="0" w:color="auto"/>
              <w:right w:val="nil"/>
            </w:tcBorders>
            <w:shd w:val="clear" w:color="auto" w:fill="auto"/>
            <w:noWrap/>
            <w:vAlign w:val="bottom"/>
            <w:hideMark/>
          </w:tcPr>
          <w:p w14:paraId="78651738" w14:textId="77777777" w:rsidR="00F97EFD" w:rsidRPr="00F97EFD" w:rsidRDefault="00F97EFD" w:rsidP="00F97EFD">
            <w:pPr>
              <w:spacing w:after="0" w:line="240" w:lineRule="auto"/>
              <w:rPr>
                <w:rFonts w:ascii="Garamond" w:eastAsia="Times New Roman" w:hAnsi="Garamond" w:cs="Calibri"/>
                <w:sz w:val="20"/>
                <w:szCs w:val="20"/>
              </w:rPr>
            </w:pPr>
            <w:r w:rsidRPr="00F97EFD">
              <w:rPr>
                <w:rFonts w:ascii="Garamond" w:eastAsia="Times New Roman" w:hAnsi="Garamond" w:cs="Calibri"/>
                <w:sz w:val="20"/>
                <w:szCs w:val="20"/>
              </w:rPr>
              <w:t>Factura residencial inscripta en CARE</w:t>
            </w:r>
          </w:p>
        </w:tc>
        <w:tc>
          <w:tcPr>
            <w:tcW w:w="1295" w:type="dxa"/>
            <w:tcBorders>
              <w:top w:val="nil"/>
              <w:left w:val="nil"/>
              <w:bottom w:val="single" w:sz="8" w:space="0" w:color="auto"/>
              <w:right w:val="nil"/>
            </w:tcBorders>
            <w:shd w:val="clear" w:color="auto" w:fill="auto"/>
            <w:noWrap/>
            <w:vAlign w:val="bottom"/>
            <w:hideMark/>
          </w:tcPr>
          <w:p w14:paraId="5938C40A"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 xml:space="preserve">$115.35 </w:t>
            </w:r>
          </w:p>
        </w:tc>
        <w:tc>
          <w:tcPr>
            <w:tcW w:w="1666" w:type="dxa"/>
            <w:tcBorders>
              <w:top w:val="nil"/>
              <w:left w:val="nil"/>
              <w:bottom w:val="single" w:sz="8" w:space="0" w:color="auto"/>
              <w:right w:val="nil"/>
            </w:tcBorders>
            <w:shd w:val="clear" w:color="auto" w:fill="auto"/>
            <w:noWrap/>
            <w:vAlign w:val="bottom"/>
            <w:hideMark/>
          </w:tcPr>
          <w:p w14:paraId="71C5A7D8" w14:textId="77777777" w:rsidR="00F97EFD" w:rsidRPr="00F97EFD" w:rsidRDefault="00F97EFD" w:rsidP="00F97EFD">
            <w:pPr>
              <w:spacing w:after="0" w:line="240" w:lineRule="auto"/>
              <w:jc w:val="right"/>
              <w:rPr>
                <w:rFonts w:ascii="Garamond" w:eastAsia="Times New Roman" w:hAnsi="Garamond" w:cs="Calibri"/>
                <w:sz w:val="20"/>
                <w:szCs w:val="20"/>
              </w:rPr>
            </w:pPr>
            <w:r w:rsidRPr="00F97EFD">
              <w:rPr>
                <w:rFonts w:ascii="Garamond" w:eastAsia="Times New Roman" w:hAnsi="Garamond" w:cs="Calibri"/>
                <w:sz w:val="20"/>
                <w:szCs w:val="20"/>
              </w:rPr>
              <w:t xml:space="preserve">$11.83 </w:t>
            </w:r>
          </w:p>
        </w:tc>
        <w:tc>
          <w:tcPr>
            <w:tcW w:w="1668" w:type="dxa"/>
            <w:tcBorders>
              <w:top w:val="nil"/>
              <w:left w:val="nil"/>
              <w:bottom w:val="single" w:sz="8" w:space="0" w:color="auto"/>
              <w:right w:val="nil"/>
            </w:tcBorders>
            <w:shd w:val="clear" w:color="auto" w:fill="auto"/>
            <w:noWrap/>
            <w:vAlign w:val="bottom"/>
            <w:hideMark/>
          </w:tcPr>
          <w:p w14:paraId="46C4FF1B"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 xml:space="preserve">$127.18 </w:t>
            </w:r>
          </w:p>
        </w:tc>
        <w:tc>
          <w:tcPr>
            <w:tcW w:w="1942" w:type="dxa"/>
            <w:tcBorders>
              <w:top w:val="nil"/>
              <w:left w:val="nil"/>
              <w:bottom w:val="single" w:sz="8" w:space="0" w:color="auto"/>
              <w:right w:val="nil"/>
            </w:tcBorders>
            <w:shd w:val="clear" w:color="auto" w:fill="auto"/>
            <w:noWrap/>
            <w:vAlign w:val="bottom"/>
            <w:hideMark/>
          </w:tcPr>
          <w:p w14:paraId="0E7B8F8B" w14:textId="77777777" w:rsidR="00F97EFD" w:rsidRPr="00F97EFD" w:rsidRDefault="00F97EFD" w:rsidP="00F97EFD">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10.3%</w:t>
            </w:r>
          </w:p>
        </w:tc>
      </w:tr>
      <w:tr w:rsidR="00F97EFD" w:rsidRPr="00F97EFD" w14:paraId="3997697F" w14:textId="77777777" w:rsidTr="00F97EFD">
        <w:trPr>
          <w:trHeight w:val="300"/>
        </w:trPr>
        <w:tc>
          <w:tcPr>
            <w:tcW w:w="9360" w:type="dxa"/>
            <w:gridSpan w:val="6"/>
            <w:tcBorders>
              <w:top w:val="nil"/>
              <w:left w:val="nil"/>
              <w:bottom w:val="nil"/>
              <w:right w:val="nil"/>
            </w:tcBorders>
            <w:shd w:val="clear" w:color="auto" w:fill="auto"/>
            <w:noWrap/>
            <w:vAlign w:val="bottom"/>
            <w:hideMark/>
          </w:tcPr>
          <w:p w14:paraId="3BDD7327" w14:textId="6800F7EB" w:rsidR="00F97EFD" w:rsidRPr="00F97EFD" w:rsidRDefault="00F97EFD" w:rsidP="00F97EFD">
            <w:pPr>
              <w:spacing w:after="0" w:line="240" w:lineRule="auto"/>
              <w:rPr>
                <w:rFonts w:eastAsia="Times New Roman"/>
                <w:sz w:val="18"/>
                <w:szCs w:val="18"/>
              </w:rPr>
            </w:pPr>
            <w:r w:rsidRPr="00F97EFD">
              <w:rPr>
                <w:rFonts w:eastAsia="Times New Roman"/>
                <w:sz w:val="18"/>
                <w:szCs w:val="18"/>
              </w:rPr>
              <w:t>*Estos impactos en las tarifas y facturas excluyen los ingresos por gases de efecto invernadero.</w:t>
            </w:r>
          </w:p>
        </w:tc>
      </w:tr>
      <w:tr w:rsidR="00F97EFD" w:rsidRPr="00F97EFD" w14:paraId="09A76A15" w14:textId="77777777" w:rsidTr="00F97EFD">
        <w:trPr>
          <w:trHeight w:val="1290"/>
        </w:trPr>
        <w:tc>
          <w:tcPr>
            <w:tcW w:w="9360" w:type="dxa"/>
            <w:gridSpan w:val="6"/>
            <w:tcBorders>
              <w:top w:val="nil"/>
              <w:left w:val="nil"/>
              <w:bottom w:val="nil"/>
              <w:right w:val="nil"/>
            </w:tcBorders>
            <w:shd w:val="clear" w:color="auto" w:fill="auto"/>
            <w:hideMark/>
          </w:tcPr>
          <w:p w14:paraId="00B70E2C" w14:textId="6A00E8A3" w:rsidR="00F97EFD" w:rsidRPr="00F97EFD" w:rsidRDefault="00F97EFD" w:rsidP="00F97EFD">
            <w:pPr>
              <w:spacing w:after="0" w:line="240" w:lineRule="auto"/>
              <w:rPr>
                <w:rFonts w:eastAsia="Times New Roman"/>
                <w:color w:val="000000"/>
                <w:sz w:val="18"/>
                <w:szCs w:val="18"/>
              </w:rPr>
            </w:pPr>
            <w:r w:rsidRPr="00F97EFD">
              <w:rPr>
                <w:rFonts w:eastAsia="Times New Roman"/>
                <w:color w:val="000000"/>
                <w:sz w:val="18"/>
                <w:szCs w:val="18"/>
              </w:rPr>
              <w:t>**Los impactos en las tarifas y facturas del 2024 se derivan parti</w:t>
            </w:r>
            <w:r w:rsidR="00EA586B">
              <w:rPr>
                <w:rFonts w:eastAsia="Times New Roman"/>
                <w:color w:val="000000"/>
                <w:sz w:val="18"/>
                <w:szCs w:val="18"/>
              </w:rPr>
              <w:t xml:space="preserve">endo </w:t>
            </w:r>
            <w:r w:rsidRPr="00F97EFD">
              <w:rPr>
                <w:rFonts w:eastAsia="Times New Roman"/>
                <w:color w:val="000000"/>
                <w:sz w:val="18"/>
                <w:szCs w:val="18"/>
              </w:rPr>
              <w:t xml:space="preserve">de las tarifas de SCE aprobadas el 1 de marzo de 2023 y (1) superponiendo los cambios en los ingresos vinculados a la solicitud de requisitos de ingresos básicos autorizados en la Fase 4 del GRC 2021 (A.19-08-013) de SCE, ajustados por el </w:t>
            </w:r>
            <w:r w:rsidR="00F232DB">
              <w:rPr>
                <w:rFonts w:eastAsia="Times New Roman"/>
                <w:color w:val="000000"/>
                <w:sz w:val="18"/>
                <w:szCs w:val="18"/>
              </w:rPr>
              <w:t>c</w:t>
            </w:r>
            <w:r w:rsidRPr="00F97EFD">
              <w:rPr>
                <w:rFonts w:eastAsia="Times New Roman"/>
                <w:color w:val="000000"/>
                <w:sz w:val="18"/>
                <w:szCs w:val="18"/>
              </w:rPr>
              <w:t xml:space="preserve">osto de capital adoptado en D.22-12-031 (según lo modificado en D.23-01-022), y el cambio en la parte del seguro de responsabilidad civil contra incendios forestales de los requisitos de ingresos básicos autorizados solicitados en una Petición de modificación de D.21-08-036, y (2) ajustando según las ventas previstas en 2024.  </w:t>
            </w:r>
          </w:p>
        </w:tc>
      </w:tr>
      <w:tr w:rsidR="00F97EFD" w:rsidRPr="00F97EFD" w14:paraId="0BDFCD74" w14:textId="77777777" w:rsidTr="00F97EFD">
        <w:trPr>
          <w:trHeight w:val="810"/>
        </w:trPr>
        <w:tc>
          <w:tcPr>
            <w:tcW w:w="9360" w:type="dxa"/>
            <w:gridSpan w:val="6"/>
            <w:tcBorders>
              <w:top w:val="nil"/>
              <w:left w:val="nil"/>
              <w:bottom w:val="nil"/>
              <w:right w:val="nil"/>
            </w:tcBorders>
            <w:shd w:val="clear" w:color="auto" w:fill="auto"/>
            <w:vAlign w:val="bottom"/>
            <w:hideMark/>
          </w:tcPr>
          <w:p w14:paraId="769D4EAA" w14:textId="614D829B" w:rsidR="00F97EFD" w:rsidRPr="00F97EFD" w:rsidRDefault="00F97EFD" w:rsidP="00F97EFD">
            <w:pPr>
              <w:spacing w:after="0" w:line="240" w:lineRule="auto"/>
              <w:rPr>
                <w:rFonts w:ascii="Calibri" w:eastAsia="Times New Roman" w:hAnsi="Calibri" w:cs="Calibri"/>
                <w:color w:val="000000"/>
                <w:sz w:val="18"/>
                <w:szCs w:val="18"/>
              </w:rPr>
            </w:pPr>
            <w:r w:rsidRPr="00F97EFD">
              <w:rPr>
                <w:rFonts w:eastAsia="Times New Roman"/>
                <w:sz w:val="18"/>
                <w:szCs w:val="18"/>
              </w:rPr>
              <w:lastRenderedPageBreak/>
              <w:t xml:space="preserve">***El cambio porcentual incluido en este cuadro se basa en el impacto de la solicitud GRC 2025 </w:t>
            </w:r>
            <w:r w:rsidR="00F232DB" w:rsidRPr="00F97EFD">
              <w:rPr>
                <w:rFonts w:eastAsia="Times New Roman"/>
                <w:sz w:val="18"/>
                <w:szCs w:val="18"/>
              </w:rPr>
              <w:t xml:space="preserve">de SCE </w:t>
            </w:r>
            <w:r w:rsidRPr="00F97EFD">
              <w:rPr>
                <w:rFonts w:eastAsia="Times New Roman"/>
                <w:sz w:val="18"/>
                <w:szCs w:val="18"/>
              </w:rPr>
              <w:t>en las tarifas generales (que incluyen los ingresos separados del GRC) en 2025.  Esto difiere de los aumentos porcentuales indicados al principio de este aviso, que solo comparan las solicitudes de requisitos de ingresos b</w:t>
            </w:r>
            <w:r w:rsidR="00F232DB">
              <w:rPr>
                <w:rFonts w:eastAsia="Times New Roman"/>
                <w:sz w:val="18"/>
                <w:szCs w:val="18"/>
              </w:rPr>
              <w:t>ásicos a</w:t>
            </w:r>
            <w:r w:rsidRPr="00F97EFD">
              <w:rPr>
                <w:rFonts w:eastAsia="Times New Roman"/>
                <w:sz w:val="18"/>
                <w:szCs w:val="18"/>
              </w:rPr>
              <w:t>utorizad</w:t>
            </w:r>
            <w:r w:rsidR="00F232DB">
              <w:rPr>
                <w:rFonts w:eastAsia="Times New Roman"/>
                <w:sz w:val="18"/>
                <w:szCs w:val="18"/>
              </w:rPr>
              <w:t>o</w:t>
            </w:r>
            <w:r w:rsidRPr="00F97EFD">
              <w:rPr>
                <w:rFonts w:eastAsia="Times New Roman"/>
                <w:sz w:val="18"/>
                <w:szCs w:val="18"/>
              </w:rPr>
              <w:t>s por el GRC.</w:t>
            </w:r>
          </w:p>
        </w:tc>
      </w:tr>
    </w:tbl>
    <w:p w14:paraId="20425B33" w14:textId="77777777" w:rsidR="00F97EFD" w:rsidRPr="00EC4736" w:rsidRDefault="00F97EFD" w:rsidP="00FF1CF2">
      <w:pPr>
        <w:keepLines/>
        <w:spacing w:after="120" w:line="240" w:lineRule="auto"/>
      </w:pPr>
    </w:p>
    <w:p w14:paraId="466162F1" w14:textId="6F36B172" w:rsidR="00C20BF5" w:rsidRPr="00EC4736" w:rsidRDefault="00295E35" w:rsidP="00FF1CF2">
      <w:pPr>
        <w:keepLines/>
        <w:spacing w:after="120" w:line="240" w:lineRule="auto"/>
      </w:pPr>
      <w:r w:rsidRPr="00EC4736">
        <w:t>El cuadro siguiente presenta el impacto en la factura mensual de las tarifas solicitadas para el período 2026-2028.</w:t>
      </w:r>
    </w:p>
    <w:p w14:paraId="0F1000C8" w14:textId="77777777" w:rsidR="00087D2B" w:rsidRPr="00EC4736" w:rsidRDefault="00087D2B" w:rsidP="00087D2B">
      <w:pPr>
        <w:shd w:val="clear" w:color="auto" w:fill="000000" w:themeFill="text1"/>
        <w:spacing w:after="0" w:line="240" w:lineRule="auto"/>
        <w:rPr>
          <w:rFonts w:ascii="Garamond" w:eastAsia="Times New Roman" w:hAnsi="Garamond" w:cs="Calibri"/>
          <w:b/>
          <w:bCs/>
          <w:color w:val="FFFFFF"/>
          <w:sz w:val="22"/>
          <w:szCs w:val="22"/>
        </w:rPr>
      </w:pPr>
      <w:r w:rsidRPr="00F97EFD">
        <w:rPr>
          <w:rFonts w:ascii="Garamond" w:eastAsia="Times New Roman" w:hAnsi="Garamond" w:cs="Calibri"/>
          <w:b/>
          <w:bCs/>
          <w:color w:val="FFFFFF"/>
          <w:sz w:val="22"/>
          <w:szCs w:val="22"/>
        </w:rPr>
        <w:t>Impacto en la factura residencial ($/</w:t>
      </w:r>
      <w:proofErr w:type="gramStart"/>
      <w:r w:rsidRPr="00F97EFD">
        <w:rPr>
          <w:rFonts w:ascii="Garamond" w:eastAsia="Times New Roman" w:hAnsi="Garamond" w:cs="Calibri"/>
          <w:b/>
          <w:bCs/>
          <w:color w:val="FFFFFF"/>
          <w:sz w:val="22"/>
          <w:szCs w:val="22"/>
        </w:rPr>
        <w:t>mes)*</w:t>
      </w:r>
      <w:proofErr w:type="gramEnd"/>
    </w:p>
    <w:tbl>
      <w:tblPr>
        <w:tblW w:w="9360" w:type="dxa"/>
        <w:tblLook w:val="04A0" w:firstRow="1" w:lastRow="0" w:firstColumn="1" w:lastColumn="0" w:noHBand="0" w:noVBand="1"/>
      </w:tblPr>
      <w:tblGrid>
        <w:gridCol w:w="2340"/>
        <w:gridCol w:w="1080"/>
        <w:gridCol w:w="1080"/>
        <w:gridCol w:w="990"/>
        <w:gridCol w:w="1080"/>
        <w:gridCol w:w="897"/>
        <w:gridCol w:w="1047"/>
        <w:gridCol w:w="846"/>
      </w:tblGrid>
      <w:tr w:rsidR="00157B2E" w:rsidRPr="00EC4736" w14:paraId="1D6E8343" w14:textId="6B0433D5" w:rsidTr="00157B2E">
        <w:trPr>
          <w:trHeight w:val="600"/>
        </w:trPr>
        <w:tc>
          <w:tcPr>
            <w:tcW w:w="2340" w:type="dxa"/>
            <w:tcBorders>
              <w:top w:val="nil"/>
              <w:left w:val="nil"/>
              <w:bottom w:val="single" w:sz="4" w:space="0" w:color="auto"/>
              <w:right w:val="nil"/>
            </w:tcBorders>
            <w:shd w:val="clear" w:color="000000" w:fill="F2F2F2"/>
            <w:noWrap/>
            <w:vAlign w:val="center"/>
            <w:hideMark/>
          </w:tcPr>
          <w:p w14:paraId="7EA49C1F" w14:textId="77777777" w:rsidR="00677EFB" w:rsidRPr="00F97EFD" w:rsidRDefault="00677EFB" w:rsidP="00677EFB">
            <w:pPr>
              <w:spacing w:after="0" w:line="240" w:lineRule="auto"/>
              <w:rPr>
                <w:rFonts w:ascii="Garamond" w:eastAsia="Times New Roman" w:hAnsi="Garamond" w:cs="Calibri"/>
                <w:b/>
                <w:bCs/>
                <w:sz w:val="20"/>
                <w:szCs w:val="20"/>
              </w:rPr>
            </w:pPr>
            <w:r w:rsidRPr="00F97EFD">
              <w:rPr>
                <w:rFonts w:ascii="Garamond" w:eastAsia="Times New Roman" w:hAnsi="Garamond" w:cs="Calibri"/>
                <w:b/>
                <w:bCs/>
                <w:sz w:val="20"/>
                <w:szCs w:val="20"/>
              </w:rPr>
              <w:t>Descripción</w:t>
            </w:r>
          </w:p>
        </w:tc>
        <w:tc>
          <w:tcPr>
            <w:tcW w:w="1080" w:type="dxa"/>
            <w:tcBorders>
              <w:top w:val="nil"/>
              <w:left w:val="nil"/>
              <w:bottom w:val="single" w:sz="4" w:space="0" w:color="auto"/>
              <w:right w:val="nil"/>
            </w:tcBorders>
            <w:shd w:val="clear" w:color="000000" w:fill="F2F2F2"/>
            <w:vAlign w:val="center"/>
            <w:hideMark/>
          </w:tcPr>
          <w:p w14:paraId="0C06403C" w14:textId="7D3C8662" w:rsidR="00677EFB" w:rsidRPr="00F97EFD" w:rsidRDefault="00677EFB" w:rsidP="00677EFB">
            <w:pPr>
              <w:spacing w:after="0" w:line="240" w:lineRule="auto"/>
              <w:jc w:val="center"/>
              <w:rPr>
                <w:rFonts w:ascii="Garamond" w:eastAsia="Times New Roman" w:hAnsi="Garamond" w:cs="Calibri"/>
                <w:b/>
                <w:bCs/>
                <w:sz w:val="20"/>
                <w:szCs w:val="20"/>
              </w:rPr>
            </w:pPr>
            <w:r w:rsidRPr="00451B79">
              <w:rPr>
                <w:rFonts w:ascii="Garamond" w:eastAsia="Times New Roman" w:hAnsi="Garamond" w:cs="Calibri"/>
                <w:b/>
                <w:bCs/>
                <w:sz w:val="20"/>
                <w:szCs w:val="20"/>
              </w:rPr>
              <w:t xml:space="preserve">Solicitada para 2025 </w:t>
            </w:r>
          </w:p>
        </w:tc>
        <w:tc>
          <w:tcPr>
            <w:tcW w:w="1080" w:type="dxa"/>
            <w:tcBorders>
              <w:top w:val="nil"/>
              <w:left w:val="nil"/>
              <w:bottom w:val="single" w:sz="4" w:space="0" w:color="auto"/>
              <w:right w:val="nil"/>
            </w:tcBorders>
            <w:shd w:val="clear" w:color="000000" w:fill="F2F2F2"/>
            <w:vAlign w:val="center"/>
          </w:tcPr>
          <w:p w14:paraId="06F7F709" w14:textId="2F5DE93C" w:rsidR="00677EFB" w:rsidRPr="00451B79" w:rsidRDefault="00677EFB" w:rsidP="00677EFB">
            <w:pPr>
              <w:spacing w:after="0" w:line="240" w:lineRule="auto"/>
              <w:jc w:val="center"/>
              <w:rPr>
                <w:rFonts w:ascii="Garamond" w:eastAsia="Times New Roman" w:hAnsi="Garamond" w:cs="Calibri"/>
                <w:b/>
                <w:bCs/>
                <w:sz w:val="20"/>
                <w:szCs w:val="20"/>
              </w:rPr>
            </w:pPr>
            <w:r w:rsidRPr="00451B79">
              <w:rPr>
                <w:rFonts w:ascii="Garamond" w:eastAsia="Times New Roman" w:hAnsi="Garamond" w:cs="Calibri"/>
                <w:b/>
                <w:bCs/>
                <w:sz w:val="20"/>
                <w:szCs w:val="20"/>
              </w:rPr>
              <w:t xml:space="preserve">Solicitada para 2026 </w:t>
            </w:r>
          </w:p>
        </w:tc>
        <w:tc>
          <w:tcPr>
            <w:tcW w:w="990" w:type="dxa"/>
            <w:tcBorders>
              <w:top w:val="nil"/>
              <w:left w:val="nil"/>
              <w:bottom w:val="single" w:sz="4" w:space="0" w:color="auto"/>
              <w:right w:val="nil"/>
            </w:tcBorders>
            <w:shd w:val="clear" w:color="000000" w:fill="F2F2F2"/>
            <w:vAlign w:val="center"/>
            <w:hideMark/>
          </w:tcPr>
          <w:p w14:paraId="66DAF1B8" w14:textId="6B92A802" w:rsidR="00677EFB" w:rsidRPr="00F97EFD" w:rsidRDefault="00677EFB" w:rsidP="00677EFB">
            <w:pPr>
              <w:spacing w:after="0" w:line="240" w:lineRule="auto"/>
              <w:jc w:val="center"/>
              <w:rPr>
                <w:rFonts w:ascii="Garamond" w:eastAsia="Times New Roman" w:hAnsi="Garamond" w:cs="Calibri"/>
                <w:b/>
                <w:bCs/>
                <w:sz w:val="20"/>
                <w:szCs w:val="20"/>
              </w:rPr>
            </w:pPr>
            <w:r w:rsidRPr="00451B79">
              <w:rPr>
                <w:rFonts w:ascii="Garamond" w:eastAsia="Times New Roman" w:hAnsi="Garamond" w:cs="Calibri"/>
                <w:b/>
                <w:bCs/>
                <w:sz w:val="20"/>
                <w:szCs w:val="20"/>
              </w:rPr>
              <w:t>% de cambio</w:t>
            </w:r>
          </w:p>
        </w:tc>
        <w:tc>
          <w:tcPr>
            <w:tcW w:w="1080" w:type="dxa"/>
            <w:tcBorders>
              <w:top w:val="nil"/>
              <w:left w:val="nil"/>
              <w:bottom w:val="single" w:sz="4" w:space="0" w:color="auto"/>
              <w:right w:val="nil"/>
            </w:tcBorders>
            <w:shd w:val="clear" w:color="000000" w:fill="F2F2F2"/>
            <w:vAlign w:val="center"/>
            <w:hideMark/>
          </w:tcPr>
          <w:p w14:paraId="78781B53" w14:textId="66D954DD" w:rsidR="00677EFB" w:rsidRPr="00F97EFD" w:rsidRDefault="00677EFB" w:rsidP="00677EFB">
            <w:pPr>
              <w:spacing w:after="0" w:line="240" w:lineRule="auto"/>
              <w:jc w:val="center"/>
              <w:rPr>
                <w:rFonts w:ascii="Garamond" w:eastAsia="Times New Roman" w:hAnsi="Garamond" w:cs="Calibri"/>
                <w:b/>
                <w:bCs/>
                <w:sz w:val="20"/>
                <w:szCs w:val="20"/>
              </w:rPr>
            </w:pPr>
            <w:r w:rsidRPr="00451B79">
              <w:rPr>
                <w:rFonts w:ascii="Garamond" w:eastAsia="Times New Roman" w:hAnsi="Garamond" w:cs="Calibri"/>
                <w:b/>
                <w:bCs/>
                <w:sz w:val="20"/>
                <w:szCs w:val="20"/>
              </w:rPr>
              <w:t>Solicitada para 2027</w:t>
            </w:r>
          </w:p>
        </w:tc>
        <w:tc>
          <w:tcPr>
            <w:tcW w:w="897" w:type="dxa"/>
            <w:tcBorders>
              <w:top w:val="nil"/>
              <w:left w:val="nil"/>
              <w:bottom w:val="single" w:sz="4" w:space="0" w:color="auto"/>
              <w:right w:val="nil"/>
            </w:tcBorders>
            <w:shd w:val="clear" w:color="000000" w:fill="F2F2F2"/>
            <w:vAlign w:val="center"/>
          </w:tcPr>
          <w:p w14:paraId="036A8571" w14:textId="00A39A57" w:rsidR="00677EFB" w:rsidRPr="00451B79" w:rsidRDefault="00677EFB" w:rsidP="00677EFB">
            <w:pPr>
              <w:spacing w:after="0" w:line="240" w:lineRule="auto"/>
              <w:jc w:val="center"/>
              <w:rPr>
                <w:rFonts w:ascii="Garamond" w:eastAsia="Times New Roman" w:hAnsi="Garamond" w:cs="Calibri"/>
                <w:b/>
                <w:bCs/>
                <w:sz w:val="20"/>
                <w:szCs w:val="20"/>
              </w:rPr>
            </w:pPr>
            <w:r w:rsidRPr="00451B79">
              <w:rPr>
                <w:rFonts w:ascii="Garamond" w:eastAsia="Times New Roman" w:hAnsi="Garamond" w:cs="Calibri"/>
                <w:b/>
                <w:bCs/>
                <w:sz w:val="20"/>
                <w:szCs w:val="20"/>
              </w:rPr>
              <w:t>% de cambio</w:t>
            </w:r>
          </w:p>
        </w:tc>
        <w:tc>
          <w:tcPr>
            <w:tcW w:w="1047" w:type="dxa"/>
            <w:tcBorders>
              <w:top w:val="nil"/>
              <w:left w:val="nil"/>
              <w:bottom w:val="single" w:sz="4" w:space="0" w:color="auto"/>
              <w:right w:val="nil"/>
            </w:tcBorders>
            <w:shd w:val="clear" w:color="000000" w:fill="F2F2F2"/>
            <w:vAlign w:val="center"/>
            <w:hideMark/>
          </w:tcPr>
          <w:p w14:paraId="32BD262E" w14:textId="347F51ED" w:rsidR="00677EFB" w:rsidRPr="00F97EFD" w:rsidRDefault="00677EFB" w:rsidP="00677EFB">
            <w:pPr>
              <w:spacing w:after="0" w:line="240" w:lineRule="auto"/>
              <w:jc w:val="center"/>
              <w:rPr>
                <w:rFonts w:ascii="Garamond" w:eastAsia="Times New Roman" w:hAnsi="Garamond" w:cs="Calibri"/>
                <w:b/>
                <w:bCs/>
                <w:sz w:val="20"/>
                <w:szCs w:val="20"/>
              </w:rPr>
            </w:pPr>
            <w:r w:rsidRPr="00451B79">
              <w:rPr>
                <w:rFonts w:ascii="Garamond" w:eastAsia="Times New Roman" w:hAnsi="Garamond" w:cs="Calibri"/>
                <w:b/>
                <w:bCs/>
                <w:sz w:val="20"/>
                <w:szCs w:val="20"/>
              </w:rPr>
              <w:t xml:space="preserve">Solicitada para 2028 </w:t>
            </w:r>
          </w:p>
        </w:tc>
        <w:tc>
          <w:tcPr>
            <w:tcW w:w="846" w:type="dxa"/>
            <w:tcBorders>
              <w:top w:val="nil"/>
              <w:left w:val="nil"/>
              <w:bottom w:val="single" w:sz="4" w:space="0" w:color="auto"/>
              <w:right w:val="nil"/>
            </w:tcBorders>
            <w:shd w:val="clear" w:color="000000" w:fill="F2F2F2"/>
            <w:vAlign w:val="center"/>
          </w:tcPr>
          <w:p w14:paraId="1B455C1B" w14:textId="6C6C7D1D" w:rsidR="00677EFB" w:rsidRPr="00451B79" w:rsidRDefault="00677EFB" w:rsidP="00677EFB">
            <w:pPr>
              <w:spacing w:after="0" w:line="240" w:lineRule="auto"/>
              <w:jc w:val="center"/>
              <w:rPr>
                <w:rFonts w:ascii="Garamond" w:eastAsia="Times New Roman" w:hAnsi="Garamond" w:cs="Calibri"/>
                <w:b/>
                <w:bCs/>
                <w:sz w:val="20"/>
                <w:szCs w:val="20"/>
              </w:rPr>
            </w:pPr>
            <w:r w:rsidRPr="00451B79">
              <w:rPr>
                <w:rFonts w:ascii="Garamond" w:eastAsia="Times New Roman" w:hAnsi="Garamond" w:cs="Calibri"/>
                <w:b/>
                <w:bCs/>
                <w:sz w:val="20"/>
                <w:szCs w:val="20"/>
              </w:rPr>
              <w:t>% de cambio</w:t>
            </w:r>
          </w:p>
        </w:tc>
      </w:tr>
      <w:tr w:rsidR="00157B2E" w:rsidRPr="00EC4736" w14:paraId="21053F04" w14:textId="4EEB36AC" w:rsidTr="00157B2E">
        <w:trPr>
          <w:trHeight w:val="300"/>
        </w:trPr>
        <w:tc>
          <w:tcPr>
            <w:tcW w:w="2340" w:type="dxa"/>
            <w:tcBorders>
              <w:top w:val="single" w:sz="4" w:space="0" w:color="auto"/>
              <w:left w:val="nil"/>
              <w:bottom w:val="nil"/>
              <w:right w:val="nil"/>
            </w:tcBorders>
            <w:shd w:val="clear" w:color="auto" w:fill="auto"/>
            <w:noWrap/>
            <w:vAlign w:val="bottom"/>
            <w:hideMark/>
          </w:tcPr>
          <w:p w14:paraId="33AE5EEF" w14:textId="77777777" w:rsidR="00B92672" w:rsidRPr="00F97EFD" w:rsidRDefault="00B92672" w:rsidP="00B92672">
            <w:pPr>
              <w:spacing w:after="0" w:line="240" w:lineRule="auto"/>
              <w:rPr>
                <w:rFonts w:ascii="Garamond" w:eastAsia="Times New Roman" w:hAnsi="Garamond" w:cs="Calibri"/>
                <w:sz w:val="20"/>
                <w:szCs w:val="20"/>
              </w:rPr>
            </w:pPr>
            <w:r w:rsidRPr="00F97EFD">
              <w:rPr>
                <w:rFonts w:ascii="Garamond" w:eastAsia="Times New Roman" w:hAnsi="Garamond" w:cs="Calibri"/>
                <w:sz w:val="20"/>
                <w:szCs w:val="20"/>
              </w:rPr>
              <w:t>Factura residencial no inscripta en CARE</w:t>
            </w:r>
          </w:p>
        </w:tc>
        <w:tc>
          <w:tcPr>
            <w:tcW w:w="1080" w:type="dxa"/>
            <w:tcBorders>
              <w:top w:val="nil"/>
              <w:left w:val="nil"/>
              <w:bottom w:val="nil"/>
              <w:right w:val="nil"/>
            </w:tcBorders>
            <w:shd w:val="clear" w:color="auto" w:fill="auto"/>
            <w:noWrap/>
            <w:vAlign w:val="bottom"/>
            <w:hideMark/>
          </w:tcPr>
          <w:p w14:paraId="437CB624" w14:textId="028B092C" w:rsidR="00B92672" w:rsidRPr="00F97EFD" w:rsidRDefault="00B92672" w:rsidP="00B92672">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w:t>
            </w:r>
            <w:r w:rsidRPr="00451B79">
              <w:rPr>
                <w:rFonts w:ascii="Garamond" w:eastAsia="Times New Roman" w:hAnsi="Garamond" w:cs="Calibri"/>
                <w:sz w:val="20"/>
                <w:szCs w:val="20"/>
              </w:rPr>
              <w:t>187.88</w:t>
            </w:r>
            <w:r w:rsidRPr="00F97EFD">
              <w:rPr>
                <w:rFonts w:ascii="Garamond" w:eastAsia="Times New Roman" w:hAnsi="Garamond" w:cs="Calibri"/>
                <w:sz w:val="20"/>
                <w:szCs w:val="20"/>
              </w:rPr>
              <w:t xml:space="preserve"> </w:t>
            </w:r>
          </w:p>
        </w:tc>
        <w:tc>
          <w:tcPr>
            <w:tcW w:w="1080" w:type="dxa"/>
            <w:tcBorders>
              <w:top w:val="nil"/>
              <w:left w:val="nil"/>
              <w:bottom w:val="nil"/>
              <w:right w:val="nil"/>
            </w:tcBorders>
            <w:vAlign w:val="bottom"/>
          </w:tcPr>
          <w:p w14:paraId="5A7C0083" w14:textId="0F8F332D" w:rsidR="00B92672" w:rsidRPr="00451B79" w:rsidRDefault="00B92672" w:rsidP="00B92672">
            <w:pPr>
              <w:spacing w:after="0" w:line="240" w:lineRule="auto"/>
              <w:jc w:val="right"/>
              <w:rPr>
                <w:rFonts w:ascii="Garamond" w:eastAsia="Times New Roman" w:hAnsi="Garamond" w:cs="Calibri"/>
                <w:sz w:val="20"/>
                <w:szCs w:val="20"/>
              </w:rPr>
            </w:pPr>
            <w:r w:rsidRPr="00F97EFD">
              <w:rPr>
                <w:rFonts w:ascii="Garamond" w:eastAsia="Times New Roman" w:hAnsi="Garamond" w:cs="Calibri"/>
                <w:sz w:val="20"/>
                <w:szCs w:val="20"/>
              </w:rPr>
              <w:t>$</w:t>
            </w:r>
            <w:r w:rsidRPr="00451B79">
              <w:rPr>
                <w:rFonts w:ascii="Garamond" w:eastAsia="Times New Roman" w:hAnsi="Garamond" w:cs="Calibri"/>
                <w:sz w:val="20"/>
                <w:szCs w:val="20"/>
              </w:rPr>
              <w:t>193.02</w:t>
            </w:r>
            <w:r w:rsidRPr="00F97EFD">
              <w:rPr>
                <w:rFonts w:ascii="Garamond" w:eastAsia="Times New Roman" w:hAnsi="Garamond" w:cs="Calibri"/>
                <w:sz w:val="20"/>
                <w:szCs w:val="20"/>
              </w:rPr>
              <w:t xml:space="preserve"> </w:t>
            </w:r>
          </w:p>
        </w:tc>
        <w:tc>
          <w:tcPr>
            <w:tcW w:w="990" w:type="dxa"/>
            <w:tcBorders>
              <w:top w:val="nil"/>
              <w:left w:val="nil"/>
              <w:bottom w:val="nil"/>
              <w:right w:val="nil"/>
            </w:tcBorders>
            <w:shd w:val="clear" w:color="auto" w:fill="auto"/>
            <w:noWrap/>
            <w:vAlign w:val="bottom"/>
            <w:hideMark/>
          </w:tcPr>
          <w:p w14:paraId="22644937" w14:textId="2BB3E3C2" w:rsidR="00B92672" w:rsidRPr="00F97EFD" w:rsidRDefault="00B92672" w:rsidP="00B92672">
            <w:pPr>
              <w:spacing w:after="0" w:line="240" w:lineRule="auto"/>
              <w:jc w:val="right"/>
              <w:rPr>
                <w:rFonts w:ascii="Garamond" w:eastAsia="Times New Roman" w:hAnsi="Garamond" w:cs="Calibri"/>
                <w:sz w:val="20"/>
                <w:szCs w:val="20"/>
              </w:rPr>
            </w:pPr>
            <w:r w:rsidRPr="00451B79">
              <w:rPr>
                <w:rFonts w:ascii="Garamond" w:eastAsia="Times New Roman" w:hAnsi="Garamond" w:cs="Calibri"/>
                <w:sz w:val="20"/>
                <w:szCs w:val="20"/>
              </w:rPr>
              <w:t>2.7%</w:t>
            </w:r>
          </w:p>
        </w:tc>
        <w:tc>
          <w:tcPr>
            <w:tcW w:w="1080" w:type="dxa"/>
            <w:tcBorders>
              <w:top w:val="nil"/>
              <w:left w:val="nil"/>
              <w:bottom w:val="nil"/>
              <w:right w:val="nil"/>
            </w:tcBorders>
            <w:shd w:val="clear" w:color="auto" w:fill="auto"/>
            <w:noWrap/>
            <w:vAlign w:val="bottom"/>
            <w:hideMark/>
          </w:tcPr>
          <w:p w14:paraId="7C59770D" w14:textId="0C12430B" w:rsidR="00B92672" w:rsidRPr="00F97EFD" w:rsidRDefault="00B92672" w:rsidP="00B92672">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w:t>
            </w:r>
            <w:r w:rsidRPr="00451B79">
              <w:rPr>
                <w:rFonts w:ascii="Garamond" w:eastAsia="Times New Roman" w:hAnsi="Garamond" w:cs="Calibri"/>
                <w:sz w:val="20"/>
                <w:szCs w:val="20"/>
              </w:rPr>
              <w:t>198.13</w:t>
            </w:r>
            <w:r w:rsidRPr="00F97EFD">
              <w:rPr>
                <w:rFonts w:ascii="Garamond" w:eastAsia="Times New Roman" w:hAnsi="Garamond" w:cs="Calibri"/>
                <w:sz w:val="20"/>
                <w:szCs w:val="20"/>
              </w:rPr>
              <w:t xml:space="preserve"> </w:t>
            </w:r>
          </w:p>
        </w:tc>
        <w:tc>
          <w:tcPr>
            <w:tcW w:w="897" w:type="dxa"/>
            <w:tcBorders>
              <w:top w:val="nil"/>
              <w:left w:val="nil"/>
              <w:bottom w:val="nil"/>
              <w:right w:val="nil"/>
            </w:tcBorders>
            <w:vAlign w:val="bottom"/>
          </w:tcPr>
          <w:p w14:paraId="6817DB79" w14:textId="515C152C" w:rsidR="00B92672" w:rsidRPr="00451B79" w:rsidRDefault="00B92672" w:rsidP="00B92672">
            <w:pPr>
              <w:spacing w:after="0" w:line="240" w:lineRule="auto"/>
              <w:jc w:val="center"/>
              <w:rPr>
                <w:rFonts w:ascii="Garamond" w:eastAsia="Times New Roman" w:hAnsi="Garamond" w:cs="Calibri"/>
                <w:sz w:val="20"/>
                <w:szCs w:val="20"/>
              </w:rPr>
            </w:pPr>
            <w:r w:rsidRPr="00451B79">
              <w:rPr>
                <w:rFonts w:ascii="Garamond" w:eastAsia="Times New Roman" w:hAnsi="Garamond" w:cs="Calibri"/>
                <w:sz w:val="20"/>
                <w:szCs w:val="20"/>
              </w:rPr>
              <w:t>2.6%</w:t>
            </w:r>
          </w:p>
        </w:tc>
        <w:tc>
          <w:tcPr>
            <w:tcW w:w="1047" w:type="dxa"/>
            <w:tcBorders>
              <w:top w:val="nil"/>
              <w:left w:val="nil"/>
              <w:bottom w:val="nil"/>
              <w:right w:val="nil"/>
            </w:tcBorders>
            <w:shd w:val="clear" w:color="auto" w:fill="auto"/>
            <w:noWrap/>
            <w:vAlign w:val="bottom"/>
            <w:hideMark/>
          </w:tcPr>
          <w:p w14:paraId="0F393725" w14:textId="54B122A2" w:rsidR="00B92672" w:rsidRPr="00F97EFD" w:rsidRDefault="00B92672" w:rsidP="00B92672">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w:t>
            </w:r>
            <w:r w:rsidRPr="00451B79">
              <w:rPr>
                <w:rFonts w:ascii="Garamond" w:eastAsia="Times New Roman" w:hAnsi="Garamond" w:cs="Calibri"/>
                <w:sz w:val="20"/>
                <w:szCs w:val="20"/>
              </w:rPr>
              <w:t>203.39</w:t>
            </w:r>
            <w:r w:rsidRPr="00F97EFD">
              <w:rPr>
                <w:rFonts w:ascii="Garamond" w:eastAsia="Times New Roman" w:hAnsi="Garamond" w:cs="Calibri"/>
                <w:sz w:val="20"/>
                <w:szCs w:val="20"/>
              </w:rPr>
              <w:t xml:space="preserve"> </w:t>
            </w:r>
          </w:p>
        </w:tc>
        <w:tc>
          <w:tcPr>
            <w:tcW w:w="846" w:type="dxa"/>
            <w:tcBorders>
              <w:top w:val="nil"/>
              <w:left w:val="nil"/>
              <w:bottom w:val="nil"/>
              <w:right w:val="nil"/>
            </w:tcBorders>
            <w:vAlign w:val="bottom"/>
          </w:tcPr>
          <w:p w14:paraId="309D4D89" w14:textId="30785834" w:rsidR="00B92672" w:rsidRPr="00451B79" w:rsidRDefault="00B92672" w:rsidP="00B92672">
            <w:pPr>
              <w:spacing w:after="0" w:line="240" w:lineRule="auto"/>
              <w:jc w:val="center"/>
              <w:rPr>
                <w:rFonts w:ascii="Garamond" w:eastAsia="Times New Roman" w:hAnsi="Garamond" w:cs="Calibri"/>
                <w:sz w:val="20"/>
                <w:szCs w:val="20"/>
              </w:rPr>
            </w:pPr>
            <w:r w:rsidRPr="00451B79">
              <w:rPr>
                <w:rFonts w:ascii="Garamond" w:eastAsia="Times New Roman" w:hAnsi="Garamond" w:cs="Calibri"/>
                <w:sz w:val="20"/>
                <w:szCs w:val="20"/>
              </w:rPr>
              <w:t>2.7%</w:t>
            </w:r>
          </w:p>
        </w:tc>
      </w:tr>
      <w:tr w:rsidR="00157B2E" w:rsidRPr="00EC4736" w14:paraId="30FEAAB3" w14:textId="1DB44D93" w:rsidTr="00157B2E">
        <w:trPr>
          <w:trHeight w:val="315"/>
        </w:trPr>
        <w:tc>
          <w:tcPr>
            <w:tcW w:w="2340" w:type="dxa"/>
            <w:tcBorders>
              <w:top w:val="nil"/>
              <w:left w:val="nil"/>
              <w:bottom w:val="single" w:sz="8" w:space="0" w:color="auto"/>
              <w:right w:val="nil"/>
            </w:tcBorders>
            <w:shd w:val="clear" w:color="auto" w:fill="auto"/>
            <w:noWrap/>
            <w:vAlign w:val="bottom"/>
            <w:hideMark/>
          </w:tcPr>
          <w:p w14:paraId="614F353F" w14:textId="77777777" w:rsidR="00835DDF" w:rsidRPr="00F97EFD" w:rsidRDefault="00835DDF" w:rsidP="00835DDF">
            <w:pPr>
              <w:spacing w:after="0" w:line="240" w:lineRule="auto"/>
              <w:rPr>
                <w:rFonts w:ascii="Garamond" w:eastAsia="Times New Roman" w:hAnsi="Garamond" w:cs="Calibri"/>
                <w:sz w:val="20"/>
                <w:szCs w:val="20"/>
              </w:rPr>
            </w:pPr>
            <w:r w:rsidRPr="00F97EFD">
              <w:rPr>
                <w:rFonts w:ascii="Garamond" w:eastAsia="Times New Roman" w:hAnsi="Garamond" w:cs="Calibri"/>
                <w:sz w:val="20"/>
                <w:szCs w:val="20"/>
              </w:rPr>
              <w:t>Factura residencial inscripta en CARE</w:t>
            </w:r>
          </w:p>
        </w:tc>
        <w:tc>
          <w:tcPr>
            <w:tcW w:w="1080" w:type="dxa"/>
            <w:tcBorders>
              <w:top w:val="nil"/>
              <w:left w:val="nil"/>
              <w:bottom w:val="single" w:sz="8" w:space="0" w:color="auto"/>
              <w:right w:val="nil"/>
            </w:tcBorders>
            <w:shd w:val="clear" w:color="auto" w:fill="auto"/>
            <w:noWrap/>
            <w:vAlign w:val="bottom"/>
            <w:hideMark/>
          </w:tcPr>
          <w:p w14:paraId="36BAA5F4" w14:textId="4109D7D2" w:rsidR="00835DDF" w:rsidRPr="00F97EFD" w:rsidRDefault="00835DDF" w:rsidP="00835DDF">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w:t>
            </w:r>
            <w:r w:rsidRPr="00451B79">
              <w:rPr>
                <w:rFonts w:ascii="Garamond" w:eastAsia="Times New Roman" w:hAnsi="Garamond" w:cs="Calibri"/>
                <w:sz w:val="20"/>
                <w:szCs w:val="20"/>
              </w:rPr>
              <w:t>127.18</w:t>
            </w:r>
            <w:r w:rsidRPr="00F97EFD">
              <w:rPr>
                <w:rFonts w:ascii="Garamond" w:eastAsia="Times New Roman" w:hAnsi="Garamond" w:cs="Calibri"/>
                <w:sz w:val="20"/>
                <w:szCs w:val="20"/>
              </w:rPr>
              <w:t xml:space="preserve"> </w:t>
            </w:r>
          </w:p>
        </w:tc>
        <w:tc>
          <w:tcPr>
            <w:tcW w:w="1080" w:type="dxa"/>
            <w:tcBorders>
              <w:top w:val="nil"/>
              <w:left w:val="nil"/>
              <w:bottom w:val="single" w:sz="8" w:space="0" w:color="auto"/>
              <w:right w:val="nil"/>
            </w:tcBorders>
            <w:vAlign w:val="bottom"/>
          </w:tcPr>
          <w:p w14:paraId="6028F564" w14:textId="456BD7CB" w:rsidR="00835DDF" w:rsidRPr="00451B79" w:rsidRDefault="00835DDF" w:rsidP="00835DDF">
            <w:pPr>
              <w:spacing w:after="0" w:line="240" w:lineRule="auto"/>
              <w:jc w:val="right"/>
              <w:rPr>
                <w:rFonts w:ascii="Garamond" w:eastAsia="Times New Roman" w:hAnsi="Garamond" w:cs="Calibri"/>
                <w:sz w:val="20"/>
                <w:szCs w:val="20"/>
              </w:rPr>
            </w:pPr>
            <w:r w:rsidRPr="00F97EFD">
              <w:rPr>
                <w:rFonts w:ascii="Garamond" w:eastAsia="Times New Roman" w:hAnsi="Garamond" w:cs="Calibri"/>
                <w:sz w:val="20"/>
                <w:szCs w:val="20"/>
              </w:rPr>
              <w:t>$</w:t>
            </w:r>
            <w:r w:rsidRPr="00451B79">
              <w:rPr>
                <w:rFonts w:ascii="Garamond" w:eastAsia="Times New Roman" w:hAnsi="Garamond" w:cs="Calibri"/>
                <w:sz w:val="20"/>
                <w:szCs w:val="20"/>
              </w:rPr>
              <w:t>130.66</w:t>
            </w:r>
            <w:r w:rsidRPr="00F97EFD">
              <w:rPr>
                <w:rFonts w:ascii="Garamond" w:eastAsia="Times New Roman" w:hAnsi="Garamond" w:cs="Calibri"/>
                <w:sz w:val="20"/>
                <w:szCs w:val="20"/>
              </w:rPr>
              <w:t xml:space="preserve"> </w:t>
            </w:r>
          </w:p>
        </w:tc>
        <w:tc>
          <w:tcPr>
            <w:tcW w:w="990" w:type="dxa"/>
            <w:tcBorders>
              <w:top w:val="nil"/>
              <w:left w:val="nil"/>
              <w:bottom w:val="single" w:sz="8" w:space="0" w:color="auto"/>
              <w:right w:val="nil"/>
            </w:tcBorders>
            <w:shd w:val="clear" w:color="auto" w:fill="auto"/>
            <w:noWrap/>
            <w:vAlign w:val="bottom"/>
            <w:hideMark/>
          </w:tcPr>
          <w:p w14:paraId="317D42FB" w14:textId="505E15A7" w:rsidR="00835DDF" w:rsidRPr="00F97EFD" w:rsidRDefault="00835DDF" w:rsidP="00835DDF">
            <w:pPr>
              <w:spacing w:after="0" w:line="240" w:lineRule="auto"/>
              <w:jc w:val="right"/>
              <w:rPr>
                <w:rFonts w:ascii="Garamond" w:eastAsia="Times New Roman" w:hAnsi="Garamond" w:cs="Calibri"/>
                <w:sz w:val="20"/>
                <w:szCs w:val="20"/>
              </w:rPr>
            </w:pPr>
            <w:r w:rsidRPr="00451B79">
              <w:rPr>
                <w:rFonts w:ascii="Garamond" w:eastAsia="Times New Roman" w:hAnsi="Garamond" w:cs="Calibri"/>
                <w:sz w:val="20"/>
                <w:szCs w:val="20"/>
              </w:rPr>
              <w:t>2.7%</w:t>
            </w:r>
          </w:p>
        </w:tc>
        <w:tc>
          <w:tcPr>
            <w:tcW w:w="1080" w:type="dxa"/>
            <w:tcBorders>
              <w:top w:val="nil"/>
              <w:left w:val="nil"/>
              <w:bottom w:val="single" w:sz="8" w:space="0" w:color="auto"/>
              <w:right w:val="nil"/>
            </w:tcBorders>
            <w:shd w:val="clear" w:color="auto" w:fill="auto"/>
            <w:noWrap/>
            <w:vAlign w:val="bottom"/>
            <w:hideMark/>
          </w:tcPr>
          <w:p w14:paraId="2D7F59A5" w14:textId="599D895A" w:rsidR="00835DDF" w:rsidRPr="00F97EFD" w:rsidRDefault="00835DDF" w:rsidP="00835DDF">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w:t>
            </w:r>
            <w:r w:rsidRPr="00451B79">
              <w:rPr>
                <w:rFonts w:ascii="Garamond" w:eastAsia="Times New Roman" w:hAnsi="Garamond" w:cs="Calibri"/>
                <w:sz w:val="20"/>
                <w:szCs w:val="20"/>
              </w:rPr>
              <w:t>134.11</w:t>
            </w:r>
            <w:r w:rsidRPr="00F97EFD">
              <w:rPr>
                <w:rFonts w:ascii="Garamond" w:eastAsia="Times New Roman" w:hAnsi="Garamond" w:cs="Calibri"/>
                <w:sz w:val="20"/>
                <w:szCs w:val="20"/>
              </w:rPr>
              <w:t xml:space="preserve"> </w:t>
            </w:r>
          </w:p>
        </w:tc>
        <w:tc>
          <w:tcPr>
            <w:tcW w:w="897" w:type="dxa"/>
            <w:tcBorders>
              <w:top w:val="nil"/>
              <w:left w:val="nil"/>
              <w:bottom w:val="single" w:sz="8" w:space="0" w:color="auto"/>
              <w:right w:val="nil"/>
            </w:tcBorders>
            <w:vAlign w:val="bottom"/>
          </w:tcPr>
          <w:p w14:paraId="4D96A912" w14:textId="6AFBCE0F" w:rsidR="00835DDF" w:rsidRPr="00451B79" w:rsidRDefault="00835DDF" w:rsidP="00835DDF">
            <w:pPr>
              <w:spacing w:after="0" w:line="240" w:lineRule="auto"/>
              <w:jc w:val="center"/>
              <w:rPr>
                <w:rFonts w:ascii="Garamond" w:eastAsia="Times New Roman" w:hAnsi="Garamond" w:cs="Calibri"/>
                <w:sz w:val="20"/>
                <w:szCs w:val="20"/>
              </w:rPr>
            </w:pPr>
            <w:r w:rsidRPr="00451B79">
              <w:rPr>
                <w:rFonts w:ascii="Garamond" w:eastAsia="Times New Roman" w:hAnsi="Garamond" w:cs="Calibri"/>
                <w:sz w:val="20"/>
                <w:szCs w:val="20"/>
              </w:rPr>
              <w:t>2.6%</w:t>
            </w:r>
          </w:p>
        </w:tc>
        <w:tc>
          <w:tcPr>
            <w:tcW w:w="1047" w:type="dxa"/>
            <w:tcBorders>
              <w:top w:val="nil"/>
              <w:left w:val="nil"/>
              <w:bottom w:val="single" w:sz="8" w:space="0" w:color="auto"/>
              <w:right w:val="nil"/>
            </w:tcBorders>
            <w:shd w:val="clear" w:color="auto" w:fill="auto"/>
            <w:noWrap/>
            <w:vAlign w:val="bottom"/>
            <w:hideMark/>
          </w:tcPr>
          <w:p w14:paraId="099EED34" w14:textId="6BCDC03C" w:rsidR="00835DDF" w:rsidRPr="00F97EFD" w:rsidRDefault="00835DDF" w:rsidP="00835DDF">
            <w:pPr>
              <w:spacing w:after="0" w:line="240" w:lineRule="auto"/>
              <w:jc w:val="center"/>
              <w:rPr>
                <w:rFonts w:ascii="Garamond" w:eastAsia="Times New Roman" w:hAnsi="Garamond" w:cs="Calibri"/>
                <w:sz w:val="20"/>
                <w:szCs w:val="20"/>
              </w:rPr>
            </w:pPr>
            <w:r w:rsidRPr="00F97EFD">
              <w:rPr>
                <w:rFonts w:ascii="Garamond" w:eastAsia="Times New Roman" w:hAnsi="Garamond" w:cs="Calibri"/>
                <w:sz w:val="20"/>
                <w:szCs w:val="20"/>
              </w:rPr>
              <w:t>$</w:t>
            </w:r>
            <w:r w:rsidRPr="00451B79">
              <w:rPr>
                <w:rFonts w:ascii="Garamond" w:eastAsia="Times New Roman" w:hAnsi="Garamond" w:cs="Calibri"/>
                <w:sz w:val="20"/>
                <w:szCs w:val="20"/>
              </w:rPr>
              <w:t>137.67</w:t>
            </w:r>
            <w:r w:rsidRPr="00F97EFD">
              <w:rPr>
                <w:rFonts w:ascii="Garamond" w:eastAsia="Times New Roman" w:hAnsi="Garamond" w:cs="Calibri"/>
                <w:sz w:val="20"/>
                <w:szCs w:val="20"/>
              </w:rPr>
              <w:t xml:space="preserve"> </w:t>
            </w:r>
          </w:p>
        </w:tc>
        <w:tc>
          <w:tcPr>
            <w:tcW w:w="846" w:type="dxa"/>
            <w:tcBorders>
              <w:top w:val="nil"/>
              <w:left w:val="nil"/>
              <w:bottom w:val="single" w:sz="8" w:space="0" w:color="auto"/>
              <w:right w:val="nil"/>
            </w:tcBorders>
            <w:vAlign w:val="bottom"/>
          </w:tcPr>
          <w:p w14:paraId="2910BAD9" w14:textId="13DC9949" w:rsidR="00835DDF" w:rsidRPr="00451B79" w:rsidRDefault="00835DDF" w:rsidP="00835DDF">
            <w:pPr>
              <w:spacing w:after="0" w:line="240" w:lineRule="auto"/>
              <w:jc w:val="center"/>
              <w:rPr>
                <w:rFonts w:ascii="Garamond" w:eastAsia="Times New Roman" w:hAnsi="Garamond" w:cs="Calibri"/>
                <w:sz w:val="20"/>
                <w:szCs w:val="20"/>
              </w:rPr>
            </w:pPr>
            <w:r w:rsidRPr="00451B79">
              <w:rPr>
                <w:rFonts w:ascii="Garamond" w:eastAsia="Times New Roman" w:hAnsi="Garamond" w:cs="Calibri"/>
                <w:sz w:val="20"/>
                <w:szCs w:val="20"/>
              </w:rPr>
              <w:t>2.7%</w:t>
            </w:r>
          </w:p>
        </w:tc>
      </w:tr>
    </w:tbl>
    <w:p w14:paraId="4E737E29" w14:textId="32835D61" w:rsidR="000F7D3F" w:rsidRPr="00EC4736" w:rsidRDefault="0040371F" w:rsidP="002E7FDA">
      <w:pPr>
        <w:spacing w:after="0" w:line="240" w:lineRule="auto"/>
        <w:rPr>
          <w:rFonts w:eastAsia="Times New Roman"/>
          <w:sz w:val="18"/>
          <w:szCs w:val="18"/>
        </w:rPr>
      </w:pPr>
      <w:r w:rsidRPr="00EC4736">
        <w:rPr>
          <w:rFonts w:eastAsia="Times New Roman"/>
          <w:sz w:val="18"/>
          <w:szCs w:val="18"/>
        </w:rPr>
        <w:t>*</w:t>
      </w:r>
      <w:r w:rsidR="002D085C" w:rsidRPr="002D085C">
        <w:rPr>
          <w:rFonts w:eastAsia="Times New Roman"/>
          <w:sz w:val="18"/>
          <w:szCs w:val="18"/>
        </w:rPr>
        <w:t xml:space="preserve"> </w:t>
      </w:r>
      <w:r w:rsidR="002D085C" w:rsidRPr="00F97EFD">
        <w:rPr>
          <w:rFonts w:eastAsia="Times New Roman"/>
          <w:sz w:val="18"/>
          <w:szCs w:val="18"/>
        </w:rPr>
        <w:t>Estos impactos en las tarifas y facturas excluyen los ingresos por gases de efecto invernadero.</w:t>
      </w:r>
    </w:p>
    <w:p w14:paraId="6CFDCBC3" w14:textId="77777777" w:rsidR="002E7FDA" w:rsidRPr="00EC4736" w:rsidRDefault="002E7FDA" w:rsidP="002E7FDA">
      <w:pPr>
        <w:spacing w:after="0" w:line="240" w:lineRule="auto"/>
        <w:rPr>
          <w:rFonts w:eastAsia="Times New Roman"/>
          <w:sz w:val="18"/>
          <w:szCs w:val="18"/>
        </w:rPr>
      </w:pPr>
    </w:p>
    <w:p w14:paraId="3FF7082D" w14:textId="77777777" w:rsidR="0025124C" w:rsidRPr="00EC4736" w:rsidRDefault="0025124C" w:rsidP="0025124C">
      <w:pPr>
        <w:spacing w:after="0" w:line="240" w:lineRule="auto"/>
        <w:rPr>
          <w:b/>
          <w:bCs/>
          <w:color w:val="000000"/>
        </w:rPr>
      </w:pPr>
      <w:r w:rsidRPr="00EC4736">
        <w:rPr>
          <w:b/>
          <w:color w:val="000000"/>
        </w:rPr>
        <w:t>¿Cómo funciona el resto del proceso?</w:t>
      </w:r>
    </w:p>
    <w:p w14:paraId="73D47863" w14:textId="73240E4B" w:rsidR="0025124C" w:rsidRPr="00EC4736" w:rsidRDefault="0025124C" w:rsidP="00FF1CF2">
      <w:pPr>
        <w:kinsoku w:val="0"/>
        <w:overflowPunct w:val="0"/>
        <w:autoSpaceDE w:val="0"/>
        <w:autoSpaceDN w:val="0"/>
        <w:adjustRightInd w:val="0"/>
        <w:spacing w:after="120" w:line="240" w:lineRule="auto"/>
        <w:rPr>
          <w:color w:val="000000"/>
        </w:rPr>
      </w:pPr>
      <w:r w:rsidRPr="00EC4736">
        <w:rPr>
          <w:color w:val="000000"/>
        </w:rPr>
        <w:t xml:space="preserve">Esta solicitud se asignará a un juez administrativo de la CPUC que establecerá un programa que incluya audiencias con participación pública y que tendrá en cuenta todas las propuestas y pruebas presentadas durante el proceso formal de audiencias. El juez administrativo tomará una resolución preliminar que puede aceptar, modificar o rechazar la solicitud de SCE. Cualquiera de los integrantes de la CPUC puede presentar una resolución alternativa con un resultado diferente. La resolución preliminar y cualquier resolución alternativa se tratarán y someterán a votación entre los integrantes de la CPUC en una reunión pública. </w:t>
      </w:r>
    </w:p>
    <w:p w14:paraId="015940DF" w14:textId="5F5486A3" w:rsidR="0025124C" w:rsidRPr="00EC4736" w:rsidRDefault="0025124C" w:rsidP="00FF1CF2">
      <w:pPr>
        <w:kinsoku w:val="0"/>
        <w:overflowPunct w:val="0"/>
        <w:autoSpaceDE w:val="0"/>
        <w:autoSpaceDN w:val="0"/>
        <w:adjustRightInd w:val="0"/>
        <w:spacing w:after="120" w:line="240" w:lineRule="auto"/>
        <w:rPr>
          <w:color w:val="000000"/>
        </w:rPr>
      </w:pPr>
      <w:r w:rsidRPr="00EC4736">
        <w:rPr>
          <w:color w:val="000000"/>
        </w:rPr>
        <w:t>Las partes del proceso pueden consultar la solicitud de SCE, incluida la Oficina de los Defensores Públicos (</w:t>
      </w:r>
      <w:proofErr w:type="spellStart"/>
      <w:r w:rsidRPr="00EC4736">
        <w:rPr>
          <w:color w:val="000000"/>
        </w:rPr>
        <w:t>Public</w:t>
      </w:r>
      <w:proofErr w:type="spellEnd"/>
      <w:r w:rsidRPr="00EC4736">
        <w:rPr>
          <w:color w:val="000000"/>
        </w:rPr>
        <w:t xml:space="preserve"> </w:t>
      </w:r>
      <w:proofErr w:type="spellStart"/>
      <w:r w:rsidRPr="00EC4736">
        <w:rPr>
          <w:color w:val="000000"/>
        </w:rPr>
        <w:t>Advocates</w:t>
      </w:r>
      <w:proofErr w:type="spellEnd"/>
      <w:r w:rsidRPr="00EC4736">
        <w:rPr>
          <w:color w:val="000000"/>
        </w:rPr>
        <w:t xml:space="preserve"> Office). La Oficina de los Defensores Públicos es una sección independiente de la CPUC que representa los intereses de los consumidores para que obtengan las tarifas más bajas posibles compatibles con un nivel de servicio seguro y confiable. Para más información sobre la Oficina de los Defensores Públicos, llámelos al 1-415-703-1584, envíeles un correo electrónico a </w:t>
      </w:r>
      <w:hyperlink r:id="rId12" w:history="1">
        <w:r w:rsidRPr="00EC4736">
          <w:rPr>
            <w:rStyle w:val="Hyperlink"/>
          </w:rPr>
          <w:t>PublicAdvocatesOffice@cpuc.ca.gov</w:t>
        </w:r>
      </w:hyperlink>
      <w:r w:rsidRPr="00EC4736">
        <w:rPr>
          <w:color w:val="000000"/>
        </w:rPr>
        <w:t xml:space="preserve"> o visite su sitio PublicAdvocates.cpuc.ca.gov.</w:t>
      </w:r>
    </w:p>
    <w:p w14:paraId="1D76986E" w14:textId="73654F57" w:rsidR="0025124C" w:rsidRPr="00EC4736" w:rsidRDefault="0025124C" w:rsidP="0025124C">
      <w:pPr>
        <w:spacing w:after="0" w:line="240" w:lineRule="auto"/>
        <w:rPr>
          <w:b/>
          <w:bCs/>
          <w:color w:val="000000"/>
        </w:rPr>
      </w:pPr>
      <w:r w:rsidRPr="00EC4736">
        <w:rPr>
          <w:b/>
          <w:color w:val="000000"/>
        </w:rPr>
        <w:t xml:space="preserve">¿Dónde puedo obtener más información? </w:t>
      </w:r>
    </w:p>
    <w:p w14:paraId="62184495" w14:textId="77777777" w:rsidR="0025124C" w:rsidRPr="00EC4736" w:rsidRDefault="0025124C" w:rsidP="00FF1CF2">
      <w:pPr>
        <w:spacing w:before="120" w:after="0" w:line="240" w:lineRule="auto"/>
        <w:rPr>
          <w:b/>
          <w:bCs/>
          <w:color w:val="000000"/>
        </w:rPr>
      </w:pPr>
      <w:r w:rsidRPr="00EC4736">
        <w:rPr>
          <w:b/>
          <w:color w:val="000000"/>
        </w:rPr>
        <w:t>Comuníquese con SCE</w:t>
      </w:r>
    </w:p>
    <w:p w14:paraId="580BEF27" w14:textId="7CB39031" w:rsidR="0025124C" w:rsidRPr="00EC4736" w:rsidRDefault="0025124C" w:rsidP="0025124C">
      <w:pPr>
        <w:spacing w:after="0" w:line="240" w:lineRule="auto"/>
        <w:ind w:left="720"/>
        <w:rPr>
          <w:color w:val="000000"/>
        </w:rPr>
      </w:pPr>
      <w:r w:rsidRPr="00EC4736">
        <w:rPr>
          <w:color w:val="000000"/>
        </w:rPr>
        <w:t>Correo electrónico</w:t>
      </w:r>
      <w:r w:rsidRPr="00EC4736">
        <w:rPr>
          <w:color w:val="000000"/>
        </w:rPr>
        <w:tab/>
      </w:r>
      <w:hyperlink r:id="rId13" w:history="1">
        <w:r w:rsidRPr="00EC4736">
          <w:rPr>
            <w:rStyle w:val="Hyperlink"/>
          </w:rPr>
          <w:t>case.admin@sce.com</w:t>
        </w:r>
      </w:hyperlink>
    </w:p>
    <w:p w14:paraId="5CE2A201" w14:textId="220EB79F" w:rsidR="0025124C" w:rsidRPr="00EC4736" w:rsidRDefault="0025124C" w:rsidP="0025124C">
      <w:pPr>
        <w:spacing w:after="0" w:line="240" w:lineRule="auto"/>
        <w:ind w:left="720"/>
        <w:rPr>
          <w:color w:val="000000"/>
        </w:rPr>
      </w:pPr>
      <w:r w:rsidRPr="00EC4736">
        <w:rPr>
          <w:color w:val="000000"/>
        </w:rPr>
        <w:t>Teléfono:</w:t>
      </w:r>
      <w:r w:rsidRPr="00EC4736">
        <w:rPr>
          <w:color w:val="000000"/>
        </w:rPr>
        <w:tab/>
      </w:r>
      <w:r w:rsidR="00052B73">
        <w:rPr>
          <w:color w:val="000000"/>
        </w:rPr>
        <w:tab/>
      </w:r>
      <w:r w:rsidRPr="00EC4736">
        <w:rPr>
          <w:color w:val="000000"/>
        </w:rPr>
        <w:t xml:space="preserve">(626) 302-0449 </w:t>
      </w:r>
    </w:p>
    <w:p w14:paraId="5386A31C" w14:textId="4405BAA1" w:rsidR="0025124C" w:rsidRPr="00EC4736" w:rsidRDefault="00DE6C54" w:rsidP="00052B73">
      <w:pPr>
        <w:spacing w:after="0" w:line="240" w:lineRule="auto"/>
        <w:ind w:left="720"/>
        <w:rPr>
          <w:color w:val="000000"/>
        </w:rPr>
      </w:pPr>
      <w:r w:rsidRPr="00EC4736">
        <w:rPr>
          <w:color w:val="000000"/>
        </w:rPr>
        <w:t>Correo:</w:t>
      </w:r>
      <w:r w:rsidR="00052B73">
        <w:rPr>
          <w:color w:val="000000"/>
        </w:rPr>
        <w:tab/>
      </w:r>
      <w:r w:rsidR="00052B73">
        <w:rPr>
          <w:color w:val="000000"/>
        </w:rPr>
        <w:tab/>
      </w:r>
      <w:proofErr w:type="spellStart"/>
      <w:r w:rsidR="0025124C" w:rsidRPr="00EC4736">
        <w:rPr>
          <w:color w:val="000000"/>
        </w:rPr>
        <w:t>Southern</w:t>
      </w:r>
      <w:proofErr w:type="spellEnd"/>
      <w:r w:rsidR="0025124C" w:rsidRPr="00EC4736">
        <w:rPr>
          <w:color w:val="000000"/>
        </w:rPr>
        <w:t xml:space="preserve"> California Edison Company</w:t>
      </w:r>
    </w:p>
    <w:p w14:paraId="6F2C4734" w14:textId="77777777" w:rsidR="0025124C" w:rsidRPr="00EC4736" w:rsidRDefault="0025124C" w:rsidP="00052B73">
      <w:pPr>
        <w:spacing w:after="0" w:line="240" w:lineRule="auto"/>
        <w:ind w:left="2880"/>
        <w:rPr>
          <w:color w:val="000000"/>
        </w:rPr>
      </w:pPr>
      <w:proofErr w:type="spellStart"/>
      <w:r w:rsidRPr="00EC4736">
        <w:rPr>
          <w:color w:val="000000"/>
        </w:rPr>
        <w:t>Attn</w:t>
      </w:r>
      <w:proofErr w:type="spellEnd"/>
      <w:r w:rsidRPr="00EC4736">
        <w:rPr>
          <w:color w:val="000000"/>
        </w:rPr>
        <w:t xml:space="preserve">:  Case </w:t>
      </w:r>
      <w:proofErr w:type="spellStart"/>
      <w:r w:rsidRPr="00EC4736">
        <w:rPr>
          <w:color w:val="000000"/>
        </w:rPr>
        <w:t>Administrator</w:t>
      </w:r>
      <w:proofErr w:type="spellEnd"/>
    </w:p>
    <w:p w14:paraId="10B49486" w14:textId="2B1E2A5C" w:rsidR="0025124C" w:rsidRPr="00EC4736" w:rsidRDefault="0025124C" w:rsidP="00052B73">
      <w:pPr>
        <w:spacing w:after="0" w:line="240" w:lineRule="auto"/>
        <w:ind w:left="2880"/>
        <w:rPr>
          <w:color w:val="000000"/>
        </w:rPr>
      </w:pPr>
      <w:r w:rsidRPr="00EC4736">
        <w:rPr>
          <w:color w:val="000000"/>
        </w:rPr>
        <w:t xml:space="preserve">A.23-05-010 – 2025 GRC </w:t>
      </w:r>
    </w:p>
    <w:p w14:paraId="7AB28B41" w14:textId="77777777" w:rsidR="0025124C" w:rsidRPr="00EC4736" w:rsidRDefault="0025124C" w:rsidP="00052B73">
      <w:pPr>
        <w:spacing w:after="0" w:line="240" w:lineRule="auto"/>
        <w:ind w:left="2880"/>
        <w:rPr>
          <w:color w:val="000000"/>
        </w:rPr>
      </w:pPr>
      <w:r w:rsidRPr="00EC4736">
        <w:rPr>
          <w:color w:val="000000"/>
        </w:rPr>
        <w:t xml:space="preserve">P.O. Box 800 </w:t>
      </w:r>
    </w:p>
    <w:p w14:paraId="2E952DC2" w14:textId="77777777" w:rsidR="0025124C" w:rsidRPr="00EC4736" w:rsidRDefault="0025124C" w:rsidP="00052B73">
      <w:pPr>
        <w:spacing w:after="0" w:line="240" w:lineRule="auto"/>
        <w:ind w:left="2880"/>
        <w:rPr>
          <w:color w:val="000000"/>
        </w:rPr>
      </w:pPr>
      <w:proofErr w:type="spellStart"/>
      <w:r w:rsidRPr="00EC4736">
        <w:rPr>
          <w:color w:val="000000"/>
        </w:rPr>
        <w:t>Rosemead</w:t>
      </w:r>
      <w:proofErr w:type="spellEnd"/>
      <w:r w:rsidRPr="00EC4736">
        <w:rPr>
          <w:color w:val="000000"/>
        </w:rPr>
        <w:t>, CA 91770</w:t>
      </w:r>
    </w:p>
    <w:p w14:paraId="769335B0" w14:textId="7A1F6383" w:rsidR="0025124C" w:rsidRPr="00EC4736" w:rsidRDefault="0025124C" w:rsidP="00FF1CF2">
      <w:pPr>
        <w:kinsoku w:val="0"/>
        <w:overflowPunct w:val="0"/>
        <w:autoSpaceDE w:val="0"/>
        <w:autoSpaceDN w:val="0"/>
        <w:adjustRightInd w:val="0"/>
        <w:spacing w:before="120" w:after="120" w:line="240" w:lineRule="auto"/>
        <w:rPr>
          <w:color w:val="000000"/>
        </w:rPr>
      </w:pPr>
      <w:r w:rsidRPr="00EC4736">
        <w:t>También puede consultar una copia de la Solicitud y de sus documentos relacionados en</w:t>
      </w:r>
      <w:r w:rsidRPr="00EC4736">
        <w:rPr>
          <w:color w:val="000000"/>
        </w:rPr>
        <w:t xml:space="preserve"> </w:t>
      </w:r>
      <w:hyperlink r:id="rId14" w:history="1">
        <w:r w:rsidRPr="00EC4736">
          <w:rPr>
            <w:rStyle w:val="Hyperlink"/>
          </w:rPr>
          <w:t>www.sce.com/applications</w:t>
        </w:r>
      </w:hyperlink>
      <w:r w:rsidRPr="00EC4736">
        <w:t>.</w:t>
      </w:r>
    </w:p>
    <w:p w14:paraId="209293A4" w14:textId="77777777" w:rsidR="0025124C" w:rsidRPr="00EC4736" w:rsidRDefault="0025124C" w:rsidP="0025124C">
      <w:pPr>
        <w:spacing w:after="0" w:line="240" w:lineRule="auto"/>
        <w:rPr>
          <w:b/>
          <w:bCs/>
          <w:color w:val="000000"/>
        </w:rPr>
      </w:pPr>
      <w:r w:rsidRPr="00EC4736">
        <w:rPr>
          <w:b/>
          <w:color w:val="000000"/>
        </w:rPr>
        <w:t>Comuníquese con la CPUC</w:t>
      </w:r>
    </w:p>
    <w:p w14:paraId="2599B485" w14:textId="609E15E8" w:rsidR="0025124C" w:rsidRPr="00EC4736" w:rsidRDefault="0025124C" w:rsidP="00FF1CF2">
      <w:pPr>
        <w:kinsoku w:val="0"/>
        <w:overflowPunct w:val="0"/>
        <w:autoSpaceDE w:val="0"/>
        <w:autoSpaceDN w:val="0"/>
        <w:adjustRightInd w:val="0"/>
        <w:spacing w:after="120" w:line="240" w:lineRule="auto"/>
        <w:rPr>
          <w:color w:val="000000"/>
        </w:rPr>
      </w:pPr>
      <w:r w:rsidRPr="00EC4736">
        <w:rPr>
          <w:color w:val="000000"/>
        </w:rPr>
        <w:t xml:space="preserve">Visite </w:t>
      </w:r>
      <w:r w:rsidRPr="00EC4736">
        <w:rPr>
          <w:b/>
          <w:color w:val="000000"/>
        </w:rPr>
        <w:t>apps.cpuc.ca.gov/c/A2305010</w:t>
      </w:r>
      <w:r w:rsidRPr="00EC4736">
        <w:rPr>
          <w:color w:val="000000"/>
        </w:rPr>
        <w:t xml:space="preserve"> para presentar un comentario sobre este proceso en la ficha de expedientes (</w:t>
      </w:r>
      <w:proofErr w:type="spellStart"/>
      <w:r w:rsidRPr="00EC4736">
        <w:rPr>
          <w:i/>
          <w:iCs/>
          <w:color w:val="000000"/>
        </w:rPr>
        <w:t>Docket</w:t>
      </w:r>
      <w:proofErr w:type="spellEnd"/>
      <w:r w:rsidRPr="00EC4736">
        <w:rPr>
          <w:i/>
          <w:iCs/>
          <w:color w:val="000000"/>
        </w:rPr>
        <w:t xml:space="preserve"> </w:t>
      </w:r>
      <w:proofErr w:type="spellStart"/>
      <w:r w:rsidRPr="00EC4736">
        <w:rPr>
          <w:i/>
          <w:iCs/>
          <w:color w:val="000000"/>
        </w:rPr>
        <w:t>Card</w:t>
      </w:r>
      <w:proofErr w:type="spellEnd"/>
      <w:r w:rsidRPr="00EC4736">
        <w:rPr>
          <w:color w:val="000000"/>
        </w:rPr>
        <w:t xml:space="preserve">) de la CPUC. Aquí también puede consultar otros documentos y comentarios públicos relacionados con este proceso.  Su participación al presentar sus opiniones sobre la solicitud de SCE puede ayudar a la CPUC a tomar una decisión informada. Si tiene preguntas acerca de los procesos de la CPUC, puede comunicarse con la Oficina del </w:t>
      </w:r>
      <w:proofErr w:type="gramStart"/>
      <w:r w:rsidRPr="00EC4736">
        <w:rPr>
          <w:color w:val="000000"/>
        </w:rPr>
        <w:t>Consejero</w:t>
      </w:r>
      <w:proofErr w:type="gramEnd"/>
      <w:r w:rsidRPr="00EC4736">
        <w:rPr>
          <w:color w:val="000000"/>
        </w:rPr>
        <w:t xml:space="preserve"> Público (</w:t>
      </w:r>
      <w:proofErr w:type="spellStart"/>
      <w:r w:rsidRPr="00EC4736">
        <w:rPr>
          <w:i/>
          <w:iCs/>
          <w:color w:val="000000"/>
        </w:rPr>
        <w:t>Public</w:t>
      </w:r>
      <w:proofErr w:type="spellEnd"/>
      <w:r w:rsidRPr="00EC4736">
        <w:rPr>
          <w:i/>
          <w:iCs/>
          <w:color w:val="000000"/>
        </w:rPr>
        <w:t xml:space="preserve"> </w:t>
      </w:r>
      <w:proofErr w:type="spellStart"/>
      <w:r w:rsidRPr="00EC4736">
        <w:rPr>
          <w:i/>
          <w:iCs/>
          <w:color w:val="000000"/>
        </w:rPr>
        <w:t>Advisor’s</w:t>
      </w:r>
      <w:proofErr w:type="spellEnd"/>
      <w:r w:rsidRPr="00EC4736">
        <w:rPr>
          <w:i/>
          <w:iCs/>
          <w:color w:val="000000"/>
        </w:rPr>
        <w:t xml:space="preserve"> Office</w:t>
      </w:r>
      <w:r w:rsidRPr="00EC4736">
        <w:rPr>
          <w:color w:val="000000"/>
        </w:rPr>
        <w:t>) de la CPUC en:</w:t>
      </w:r>
    </w:p>
    <w:p w14:paraId="401F9889" w14:textId="03860162" w:rsidR="00C8336B" w:rsidRPr="00EC4736" w:rsidRDefault="00C8336B" w:rsidP="00777003">
      <w:pPr>
        <w:keepNext/>
        <w:keepLines/>
        <w:spacing w:after="0" w:line="240" w:lineRule="auto"/>
        <w:ind w:left="720"/>
        <w:rPr>
          <w:color w:val="000000"/>
        </w:rPr>
      </w:pPr>
      <w:r w:rsidRPr="00EC4736">
        <w:rPr>
          <w:color w:val="000000"/>
        </w:rPr>
        <w:lastRenderedPageBreak/>
        <w:t>Correo electrónico:</w:t>
      </w:r>
      <w:r w:rsidRPr="00EC4736">
        <w:rPr>
          <w:color w:val="000000"/>
        </w:rPr>
        <w:tab/>
      </w:r>
      <w:hyperlink r:id="rId15" w:history="1">
        <w:r w:rsidRPr="00EC4736">
          <w:rPr>
            <w:rStyle w:val="Hyperlink"/>
          </w:rPr>
          <w:t>Public.Advisor@cpuc.ca.gov</w:t>
        </w:r>
      </w:hyperlink>
    </w:p>
    <w:p w14:paraId="1D66616A" w14:textId="2E4F6016" w:rsidR="0025124C" w:rsidRPr="00EC4736" w:rsidRDefault="0025124C" w:rsidP="0025124C">
      <w:pPr>
        <w:spacing w:after="0" w:line="240" w:lineRule="auto"/>
        <w:ind w:left="720"/>
        <w:rPr>
          <w:color w:val="000000"/>
        </w:rPr>
      </w:pPr>
      <w:r w:rsidRPr="00EC4736">
        <w:rPr>
          <w:color w:val="000000"/>
        </w:rPr>
        <w:t>Teléfono:</w:t>
      </w:r>
      <w:r w:rsidRPr="00EC4736">
        <w:rPr>
          <w:color w:val="000000"/>
        </w:rPr>
        <w:tab/>
      </w:r>
      <w:r w:rsidR="00BF7974">
        <w:rPr>
          <w:color w:val="000000"/>
        </w:rPr>
        <w:tab/>
      </w:r>
      <w:r w:rsidRPr="00EC4736">
        <w:rPr>
          <w:color w:val="000000"/>
        </w:rPr>
        <w:t>1-866-849-8390 (gratuito) o 1-415-703-2074</w:t>
      </w:r>
    </w:p>
    <w:p w14:paraId="71A25960" w14:textId="362605D5" w:rsidR="0025124C" w:rsidRPr="00EC4736" w:rsidRDefault="0025124C" w:rsidP="0025124C">
      <w:pPr>
        <w:spacing w:after="0" w:line="240" w:lineRule="auto"/>
        <w:ind w:left="720"/>
        <w:rPr>
          <w:color w:val="000000"/>
        </w:rPr>
      </w:pPr>
      <w:r w:rsidRPr="00EC4736">
        <w:rPr>
          <w:color w:val="000000"/>
        </w:rPr>
        <w:t xml:space="preserve">Correo: </w:t>
      </w:r>
      <w:r w:rsidRPr="00EC4736">
        <w:rPr>
          <w:color w:val="000000"/>
        </w:rPr>
        <w:tab/>
      </w:r>
      <w:r w:rsidR="00BF7974">
        <w:rPr>
          <w:color w:val="000000"/>
        </w:rPr>
        <w:tab/>
      </w:r>
      <w:r w:rsidRPr="00EC4736">
        <w:rPr>
          <w:color w:val="000000"/>
        </w:rPr>
        <w:t xml:space="preserve">CPUC </w:t>
      </w:r>
      <w:proofErr w:type="spellStart"/>
      <w:r w:rsidRPr="00EC4736">
        <w:rPr>
          <w:color w:val="000000"/>
        </w:rPr>
        <w:t>Public</w:t>
      </w:r>
      <w:proofErr w:type="spellEnd"/>
      <w:r w:rsidRPr="00EC4736">
        <w:rPr>
          <w:color w:val="000000"/>
        </w:rPr>
        <w:t xml:space="preserve"> </w:t>
      </w:r>
      <w:proofErr w:type="spellStart"/>
      <w:r w:rsidRPr="00EC4736">
        <w:rPr>
          <w:color w:val="000000"/>
        </w:rPr>
        <w:t>Advisor’s</w:t>
      </w:r>
      <w:proofErr w:type="spellEnd"/>
      <w:r w:rsidRPr="00EC4736">
        <w:rPr>
          <w:color w:val="000000"/>
        </w:rPr>
        <w:t xml:space="preserve"> Office</w:t>
      </w:r>
    </w:p>
    <w:p w14:paraId="7C4BBED1" w14:textId="77777777" w:rsidR="0025124C" w:rsidRPr="00EC4736" w:rsidRDefault="0025124C" w:rsidP="00BF7974">
      <w:pPr>
        <w:spacing w:after="0" w:line="240" w:lineRule="auto"/>
        <w:ind w:left="2160" w:firstLine="720"/>
        <w:rPr>
          <w:color w:val="000000"/>
        </w:rPr>
      </w:pPr>
      <w:r w:rsidRPr="00EC4736">
        <w:rPr>
          <w:color w:val="000000"/>
        </w:rPr>
        <w:t xml:space="preserve">505 </w:t>
      </w:r>
      <w:proofErr w:type="gramStart"/>
      <w:r w:rsidRPr="00EC4736">
        <w:rPr>
          <w:color w:val="000000"/>
        </w:rPr>
        <w:t>Van</w:t>
      </w:r>
      <w:proofErr w:type="gramEnd"/>
      <w:r w:rsidRPr="00EC4736">
        <w:rPr>
          <w:color w:val="000000"/>
        </w:rPr>
        <w:t xml:space="preserve"> Ness Avenue</w:t>
      </w:r>
    </w:p>
    <w:p w14:paraId="00E45D61" w14:textId="77777777" w:rsidR="0025124C" w:rsidRPr="00EC4736" w:rsidRDefault="0025124C" w:rsidP="00BF7974">
      <w:pPr>
        <w:spacing w:after="0" w:line="240" w:lineRule="auto"/>
        <w:ind w:left="2160" w:firstLine="720"/>
        <w:rPr>
          <w:color w:val="000000"/>
        </w:rPr>
      </w:pPr>
      <w:r w:rsidRPr="00EC4736">
        <w:rPr>
          <w:color w:val="000000"/>
        </w:rPr>
        <w:t>San Francisco, CA 94102</w:t>
      </w:r>
    </w:p>
    <w:p w14:paraId="0BC47B6A" w14:textId="4A37BD30" w:rsidR="0025124C" w:rsidRPr="00EC4736" w:rsidRDefault="00D62EA5" w:rsidP="00FF1CF2">
      <w:pPr>
        <w:kinsoku w:val="0"/>
        <w:overflowPunct w:val="0"/>
        <w:autoSpaceDE w:val="0"/>
        <w:autoSpaceDN w:val="0"/>
        <w:adjustRightInd w:val="0"/>
        <w:spacing w:before="240" w:after="120" w:line="240" w:lineRule="auto"/>
        <w:rPr>
          <w:color w:val="000000"/>
        </w:rPr>
      </w:pPr>
      <w:r w:rsidRPr="00EC4736">
        <w:rPr>
          <w:color w:val="000000"/>
        </w:rPr>
        <w:t>En todas sus comunicaciones con la CPUC relativas a este tema, asegúrese de indicar que se tratan de “</w:t>
      </w:r>
      <w:r w:rsidRPr="00EC4736">
        <w:rPr>
          <w:b/>
          <w:color w:val="000000"/>
        </w:rPr>
        <w:t>SCE GRC</w:t>
      </w:r>
      <w:r w:rsidRPr="00EC4736">
        <w:rPr>
          <w:color w:val="000000"/>
        </w:rPr>
        <w:t xml:space="preserve"> </w:t>
      </w:r>
      <w:proofErr w:type="spellStart"/>
      <w:r w:rsidRPr="00EC4736">
        <w:rPr>
          <w:b/>
          <w:color w:val="000000"/>
        </w:rPr>
        <w:t>Application</w:t>
      </w:r>
      <w:proofErr w:type="spellEnd"/>
      <w:r w:rsidRPr="00EC4736">
        <w:rPr>
          <w:b/>
          <w:color w:val="000000"/>
        </w:rPr>
        <w:t xml:space="preserve"> A.23-05-010</w:t>
      </w:r>
      <w:r w:rsidRPr="00EC4736">
        <w:rPr>
          <w:color w:val="000000"/>
        </w:rPr>
        <w:t>”.</w:t>
      </w:r>
    </w:p>
    <w:sectPr w:rsidR="0025124C" w:rsidRPr="00EC4736" w:rsidSect="00EF0444">
      <w:footerReference w:type="default" r:id="rId16"/>
      <w:pgSz w:w="12240" w:h="15840"/>
      <w:pgMar w:top="864" w:right="1440" w:bottom="86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11E9" w14:textId="77777777" w:rsidR="0017504D" w:rsidRDefault="0017504D" w:rsidP="00BC0275">
      <w:pPr>
        <w:spacing w:after="0" w:line="240" w:lineRule="auto"/>
      </w:pPr>
      <w:r>
        <w:separator/>
      </w:r>
    </w:p>
  </w:endnote>
  <w:endnote w:type="continuationSeparator" w:id="0">
    <w:p w14:paraId="642180DB" w14:textId="77777777" w:rsidR="0017504D" w:rsidRDefault="0017504D" w:rsidP="00BC0275">
      <w:pPr>
        <w:spacing w:after="0" w:line="240" w:lineRule="auto"/>
      </w:pPr>
      <w:r>
        <w:continuationSeparator/>
      </w:r>
    </w:p>
  </w:endnote>
  <w:endnote w:type="continuationNotice" w:id="1">
    <w:p w14:paraId="1F1BB49D" w14:textId="77777777" w:rsidR="0017504D" w:rsidRDefault="00175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047932"/>
      <w:docPartObj>
        <w:docPartGallery w:val="Page Numbers (Bottom of Page)"/>
        <w:docPartUnique/>
      </w:docPartObj>
    </w:sdtPr>
    <w:sdtEndPr>
      <w:rPr>
        <w:noProof/>
        <w:sz w:val="20"/>
        <w:szCs w:val="20"/>
      </w:rPr>
    </w:sdtEndPr>
    <w:sdtContent>
      <w:p w14:paraId="30645FD2" w14:textId="77777777" w:rsidR="00751ECD" w:rsidRPr="00777003" w:rsidRDefault="00777003" w:rsidP="00777003">
        <w:pPr>
          <w:pStyle w:val="Footer"/>
          <w:jc w:val="center"/>
          <w:rPr>
            <w:sz w:val="20"/>
            <w:szCs w:val="20"/>
          </w:rPr>
        </w:pPr>
        <w:r w:rsidRPr="00777003">
          <w:rPr>
            <w:sz w:val="20"/>
          </w:rPr>
          <w:fldChar w:fldCharType="begin"/>
        </w:r>
        <w:r w:rsidRPr="00777003">
          <w:rPr>
            <w:sz w:val="20"/>
          </w:rPr>
          <w:instrText xml:space="preserve"> PAGE   \* MERGEFORMAT </w:instrText>
        </w:r>
        <w:r w:rsidRPr="00777003">
          <w:rPr>
            <w:sz w:val="20"/>
          </w:rPr>
          <w:fldChar w:fldCharType="separate"/>
        </w:r>
        <w:r w:rsidRPr="00777003">
          <w:rPr>
            <w:sz w:val="20"/>
          </w:rPr>
          <w:t>2</w:t>
        </w:r>
        <w:r w:rsidRPr="0077700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53E7" w14:textId="77777777" w:rsidR="0017504D" w:rsidRDefault="0017504D" w:rsidP="00C8336B">
      <w:pPr>
        <w:spacing w:after="120" w:line="240" w:lineRule="auto"/>
      </w:pPr>
      <w:r>
        <w:separator/>
      </w:r>
    </w:p>
  </w:footnote>
  <w:footnote w:type="continuationSeparator" w:id="0">
    <w:p w14:paraId="539599FB" w14:textId="77777777" w:rsidR="0017504D" w:rsidRDefault="0017504D" w:rsidP="00BC0275">
      <w:pPr>
        <w:spacing w:after="0" w:line="240" w:lineRule="auto"/>
      </w:pPr>
      <w:r>
        <w:continuationSeparator/>
      </w:r>
    </w:p>
  </w:footnote>
  <w:footnote w:type="continuationNotice" w:id="1">
    <w:p w14:paraId="36B00EBC" w14:textId="77777777" w:rsidR="0017504D" w:rsidRDefault="0017504D">
      <w:pPr>
        <w:spacing w:after="0" w:line="240" w:lineRule="auto"/>
      </w:pPr>
    </w:p>
  </w:footnote>
  <w:footnote w:id="2">
    <w:p w14:paraId="7F5E8C25" w14:textId="588321F4" w:rsidR="008224EE" w:rsidRDefault="008224EE" w:rsidP="008224EE">
      <w:pPr>
        <w:pStyle w:val="FootnoteText"/>
        <w:ind w:left="360" w:hanging="360"/>
      </w:pPr>
      <w:r>
        <w:rPr>
          <w:rStyle w:val="FootnoteReference"/>
        </w:rPr>
        <w:footnoteRef/>
      </w:r>
      <w:r>
        <w:t xml:space="preserve"> </w:t>
      </w:r>
      <w:r>
        <w:tab/>
        <w:t xml:space="preserve">Como se detalla en nuestra Solicitud, la compañía también pide la recuperación de costos por un valor de $95.57 millones en cuentas de orden aprobadas por la CPUC.  Tal como se observa en el anexo de la Solicitud de SCE, la compañía también propone presentar un testimonio actualizado, que le permitiría, entre varias cosas, revisar sus proyecciones para el Año de </w:t>
      </w:r>
      <w:r w:rsidR="001B2F00">
        <w:t>P</w:t>
      </w:r>
      <w:r>
        <w:t xml:space="preserve">rueba 2025 de la Central Nuclear Palo Verde cuando los presupuestos actualizados de Arizona </w:t>
      </w:r>
      <w:proofErr w:type="spellStart"/>
      <w:r>
        <w:t>Public</w:t>
      </w:r>
      <w:proofErr w:type="spellEnd"/>
      <w:r>
        <w:t xml:space="preserve"> </w:t>
      </w:r>
      <w:proofErr w:type="spellStart"/>
      <w:r>
        <w:t>Service</w:t>
      </w:r>
      <w:proofErr w:type="spellEnd"/>
      <w:r>
        <w:t xml:space="preserve"> estén disponibles en 2023.</w:t>
      </w:r>
    </w:p>
  </w:footnote>
  <w:footnote w:id="3">
    <w:p w14:paraId="0C0D38D0" w14:textId="36C2B621" w:rsidR="00133F6C" w:rsidRDefault="00133F6C" w:rsidP="00133F6C">
      <w:pPr>
        <w:pStyle w:val="FootnoteText"/>
        <w:ind w:left="360" w:hanging="360"/>
      </w:pPr>
      <w:r>
        <w:rPr>
          <w:rStyle w:val="FootnoteReference"/>
        </w:rPr>
        <w:footnoteRef/>
      </w:r>
      <w:r>
        <w:t xml:space="preserve"> </w:t>
      </w:r>
      <w:r>
        <w:tab/>
        <w:t xml:space="preserve">Este aumento se calcula en relación con el requisito de ingresos actual y solicitado de SCE </w:t>
      </w:r>
      <w:r w:rsidR="00276703" w:rsidRPr="00276703">
        <w:t>vinculado a</w:t>
      </w:r>
      <w:r w:rsidR="00276703">
        <w:t xml:space="preserve">l </w:t>
      </w:r>
      <w:r>
        <w:t xml:space="preserve">GRC únicamente (es decir, el </w:t>
      </w:r>
      <w:r w:rsidR="001E5106" w:rsidRPr="001E5106">
        <w:t>Requisito de Ingresos Básicos</w:t>
      </w:r>
      <w:r w:rsidR="00CD7B5D">
        <w:t xml:space="preserve"> </w:t>
      </w:r>
      <w:r w:rsidR="00CD7B5D" w:rsidRPr="001E5106">
        <w:t>Autorizado</w:t>
      </w:r>
      <w:r>
        <w:t xml:space="preserve">), a fines de 2024.  </w:t>
      </w:r>
    </w:p>
  </w:footnote>
  <w:footnote w:id="4">
    <w:p w14:paraId="19B98D65" w14:textId="2210F4B3" w:rsidR="00E70CBC" w:rsidDel="00D86CF3" w:rsidRDefault="00E70CBC" w:rsidP="00F415A6">
      <w:pPr>
        <w:pStyle w:val="FootnoteText"/>
        <w:ind w:left="360" w:hanging="360"/>
      </w:pPr>
      <w:r>
        <w:rPr>
          <w:rStyle w:val="FootnoteReference"/>
        </w:rPr>
        <w:footnoteRef/>
      </w:r>
      <w:r>
        <w:t xml:space="preserve"> </w:t>
      </w:r>
      <w:r>
        <w:tab/>
      </w:r>
      <w:r>
        <w:rPr>
          <w:sz w:val="22"/>
        </w:rPr>
        <w:t xml:space="preserve">El programa California </w:t>
      </w:r>
      <w:proofErr w:type="spellStart"/>
      <w:r>
        <w:rPr>
          <w:sz w:val="22"/>
        </w:rPr>
        <w:t>Alternate</w:t>
      </w:r>
      <w:proofErr w:type="spellEnd"/>
      <w:r>
        <w:rPr>
          <w:sz w:val="22"/>
        </w:rPr>
        <w:t xml:space="preserve"> Rates </w:t>
      </w:r>
      <w:proofErr w:type="spellStart"/>
      <w:r>
        <w:rPr>
          <w:sz w:val="22"/>
        </w:rPr>
        <w:t>for</w:t>
      </w:r>
      <w:proofErr w:type="spellEnd"/>
      <w:r>
        <w:rPr>
          <w:sz w:val="22"/>
        </w:rPr>
        <w:t xml:space="preserve"> Energy o CARE (Tarifas alternativas de energía para California) ofrece un descuento de alrededor del 30% en las facturas eléctricas mensuales si algún miembro de su hogar participa en al menos un programa de asistencia pública elegible o cumple ciertos requisitos de ingresos.  </w:t>
      </w:r>
      <w:proofErr w:type="spellStart"/>
      <w:r>
        <w:rPr>
          <w:sz w:val="22"/>
        </w:rPr>
        <w:t>Family</w:t>
      </w:r>
      <w:proofErr w:type="spellEnd"/>
      <w:r>
        <w:rPr>
          <w:sz w:val="22"/>
        </w:rPr>
        <w:t xml:space="preserve"> Electric </w:t>
      </w:r>
      <w:proofErr w:type="spellStart"/>
      <w:r>
        <w:rPr>
          <w:sz w:val="22"/>
        </w:rPr>
        <w:t>Rate</w:t>
      </w:r>
      <w:proofErr w:type="spellEnd"/>
      <w:r>
        <w:rPr>
          <w:sz w:val="22"/>
        </w:rPr>
        <w:t xml:space="preserve"> </w:t>
      </w:r>
      <w:proofErr w:type="spellStart"/>
      <w:r>
        <w:rPr>
          <w:sz w:val="22"/>
        </w:rPr>
        <w:t>Assistance</w:t>
      </w:r>
      <w:proofErr w:type="spellEnd"/>
      <w:r>
        <w:rPr>
          <w:sz w:val="22"/>
        </w:rPr>
        <w:t xml:space="preserve"> o FERA (Programa familiar de reducción de las tarifas de energía) ofrece un descuento del 18% a los hogares elegibles de tres o más personas.  Visite </w:t>
      </w:r>
      <w:hyperlink r:id="rId1" w:history="1">
        <w:r>
          <w:rPr>
            <w:rStyle w:val="Hyperlink"/>
            <w:sz w:val="22"/>
          </w:rPr>
          <w:t>www.sce.com/es/careandfera</w:t>
        </w:r>
      </w:hyperlink>
      <w:r>
        <w:rPr>
          <w:sz w:val="22"/>
        </w:rPr>
        <w:t xml:space="preserve"> para más información.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38" w:hanging="360"/>
      </w:pPr>
      <w:rPr>
        <w:rFonts w:ascii="Symbol" w:hAnsi="Symbol" w:cs="Symbol"/>
        <w:b w:val="0"/>
        <w:bCs w:val="0"/>
        <w:w w:val="99"/>
        <w:sz w:val="20"/>
        <w:szCs w:val="20"/>
      </w:rPr>
    </w:lvl>
    <w:lvl w:ilvl="1">
      <w:numFmt w:val="bullet"/>
      <w:lvlText w:val="•"/>
      <w:lvlJc w:val="left"/>
      <w:pPr>
        <w:ind w:left="1712" w:hanging="360"/>
      </w:pPr>
    </w:lvl>
    <w:lvl w:ilvl="2">
      <w:numFmt w:val="bullet"/>
      <w:lvlText w:val="•"/>
      <w:lvlJc w:val="left"/>
      <w:pPr>
        <w:ind w:left="2584" w:hanging="360"/>
      </w:pPr>
    </w:lvl>
    <w:lvl w:ilvl="3">
      <w:numFmt w:val="bullet"/>
      <w:lvlText w:val="•"/>
      <w:lvlJc w:val="left"/>
      <w:pPr>
        <w:ind w:left="3456" w:hanging="360"/>
      </w:pPr>
    </w:lvl>
    <w:lvl w:ilvl="4">
      <w:numFmt w:val="bullet"/>
      <w:lvlText w:val="•"/>
      <w:lvlJc w:val="left"/>
      <w:pPr>
        <w:ind w:left="4328" w:hanging="360"/>
      </w:pPr>
    </w:lvl>
    <w:lvl w:ilvl="5">
      <w:numFmt w:val="bullet"/>
      <w:lvlText w:val="•"/>
      <w:lvlJc w:val="left"/>
      <w:pPr>
        <w:ind w:left="5200" w:hanging="360"/>
      </w:pPr>
    </w:lvl>
    <w:lvl w:ilvl="6">
      <w:numFmt w:val="bullet"/>
      <w:lvlText w:val="•"/>
      <w:lvlJc w:val="left"/>
      <w:pPr>
        <w:ind w:left="6072" w:hanging="360"/>
      </w:pPr>
    </w:lvl>
    <w:lvl w:ilvl="7">
      <w:numFmt w:val="bullet"/>
      <w:lvlText w:val="•"/>
      <w:lvlJc w:val="left"/>
      <w:pPr>
        <w:ind w:left="6944" w:hanging="360"/>
      </w:pPr>
    </w:lvl>
    <w:lvl w:ilvl="8">
      <w:numFmt w:val="bullet"/>
      <w:lvlText w:val="•"/>
      <w:lvlJc w:val="left"/>
      <w:pPr>
        <w:ind w:left="7816" w:hanging="360"/>
      </w:pPr>
    </w:lvl>
  </w:abstractNum>
  <w:abstractNum w:abstractNumId="1" w15:restartNumberingAfterBreak="0">
    <w:nsid w:val="2667002D"/>
    <w:multiLevelType w:val="hybridMultilevel"/>
    <w:tmpl w:val="D4D6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044EB"/>
    <w:multiLevelType w:val="hybridMultilevel"/>
    <w:tmpl w:val="7B1E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75"/>
    <w:rsid w:val="000018E9"/>
    <w:rsid w:val="00004A45"/>
    <w:rsid w:val="00006E2D"/>
    <w:rsid w:val="00017C8B"/>
    <w:rsid w:val="00022BD8"/>
    <w:rsid w:val="000249C0"/>
    <w:rsid w:val="00047DF2"/>
    <w:rsid w:val="00052B73"/>
    <w:rsid w:val="000545DC"/>
    <w:rsid w:val="00060B62"/>
    <w:rsid w:val="00061443"/>
    <w:rsid w:val="00061F7E"/>
    <w:rsid w:val="000734B5"/>
    <w:rsid w:val="00077530"/>
    <w:rsid w:val="0008206C"/>
    <w:rsid w:val="00087D2B"/>
    <w:rsid w:val="000A3D22"/>
    <w:rsid w:val="000A681B"/>
    <w:rsid w:val="000C02DD"/>
    <w:rsid w:val="000C04BD"/>
    <w:rsid w:val="000C6642"/>
    <w:rsid w:val="000C6C09"/>
    <w:rsid w:val="000D072F"/>
    <w:rsid w:val="000D172B"/>
    <w:rsid w:val="000D3758"/>
    <w:rsid w:val="000D7066"/>
    <w:rsid w:val="000E33BA"/>
    <w:rsid w:val="000F0560"/>
    <w:rsid w:val="000F23A0"/>
    <w:rsid w:val="000F3F00"/>
    <w:rsid w:val="000F5010"/>
    <w:rsid w:val="000F6544"/>
    <w:rsid w:val="000F7471"/>
    <w:rsid w:val="000F7D3F"/>
    <w:rsid w:val="00100D07"/>
    <w:rsid w:val="0010117B"/>
    <w:rsid w:val="0010386E"/>
    <w:rsid w:val="00112984"/>
    <w:rsid w:val="0011495D"/>
    <w:rsid w:val="00117F30"/>
    <w:rsid w:val="00123336"/>
    <w:rsid w:val="00125E84"/>
    <w:rsid w:val="00132B5F"/>
    <w:rsid w:val="00133F6C"/>
    <w:rsid w:val="00144524"/>
    <w:rsid w:val="001458B1"/>
    <w:rsid w:val="0014704A"/>
    <w:rsid w:val="001501A2"/>
    <w:rsid w:val="00155B95"/>
    <w:rsid w:val="00157B2E"/>
    <w:rsid w:val="00160D8A"/>
    <w:rsid w:val="0016617C"/>
    <w:rsid w:val="00171AA7"/>
    <w:rsid w:val="00171F14"/>
    <w:rsid w:val="0017504D"/>
    <w:rsid w:val="00176DAC"/>
    <w:rsid w:val="001819F1"/>
    <w:rsid w:val="00187CDA"/>
    <w:rsid w:val="00187E26"/>
    <w:rsid w:val="00194203"/>
    <w:rsid w:val="001A0303"/>
    <w:rsid w:val="001A23C3"/>
    <w:rsid w:val="001B0BB2"/>
    <w:rsid w:val="001B192E"/>
    <w:rsid w:val="001B2F00"/>
    <w:rsid w:val="001C6264"/>
    <w:rsid w:val="001D20E0"/>
    <w:rsid w:val="001E051C"/>
    <w:rsid w:val="001E07CF"/>
    <w:rsid w:val="001E0FEA"/>
    <w:rsid w:val="001E4DAC"/>
    <w:rsid w:val="001E5106"/>
    <w:rsid w:val="001F12E3"/>
    <w:rsid w:val="001F2FFB"/>
    <w:rsid w:val="0020468E"/>
    <w:rsid w:val="002076D9"/>
    <w:rsid w:val="002124A7"/>
    <w:rsid w:val="00214F10"/>
    <w:rsid w:val="00222943"/>
    <w:rsid w:val="002248B0"/>
    <w:rsid w:val="00226348"/>
    <w:rsid w:val="0022764E"/>
    <w:rsid w:val="002335C7"/>
    <w:rsid w:val="00236809"/>
    <w:rsid w:val="00236BDC"/>
    <w:rsid w:val="00241AA6"/>
    <w:rsid w:val="00246ECA"/>
    <w:rsid w:val="0025124C"/>
    <w:rsid w:val="00254D11"/>
    <w:rsid w:val="00254F01"/>
    <w:rsid w:val="00260366"/>
    <w:rsid w:val="00260C3F"/>
    <w:rsid w:val="0026177E"/>
    <w:rsid w:val="00262E62"/>
    <w:rsid w:val="00271F16"/>
    <w:rsid w:val="00276703"/>
    <w:rsid w:val="002808DF"/>
    <w:rsid w:val="00280911"/>
    <w:rsid w:val="00280E5A"/>
    <w:rsid w:val="00280FB1"/>
    <w:rsid w:val="002836FB"/>
    <w:rsid w:val="00284BC8"/>
    <w:rsid w:val="002855E9"/>
    <w:rsid w:val="00285A8E"/>
    <w:rsid w:val="002901F3"/>
    <w:rsid w:val="00291D56"/>
    <w:rsid w:val="00294237"/>
    <w:rsid w:val="002957A4"/>
    <w:rsid w:val="00295E35"/>
    <w:rsid w:val="0029614D"/>
    <w:rsid w:val="00296E3B"/>
    <w:rsid w:val="002A0F95"/>
    <w:rsid w:val="002A22B2"/>
    <w:rsid w:val="002B0DDF"/>
    <w:rsid w:val="002B5EDC"/>
    <w:rsid w:val="002B6410"/>
    <w:rsid w:val="002C77FB"/>
    <w:rsid w:val="002D085C"/>
    <w:rsid w:val="002D1CFB"/>
    <w:rsid w:val="002D358D"/>
    <w:rsid w:val="002D43CA"/>
    <w:rsid w:val="002D50FB"/>
    <w:rsid w:val="002E12D4"/>
    <w:rsid w:val="002E3287"/>
    <w:rsid w:val="002E51A2"/>
    <w:rsid w:val="002E66FF"/>
    <w:rsid w:val="002E7FDA"/>
    <w:rsid w:val="002F5D6C"/>
    <w:rsid w:val="002F6B20"/>
    <w:rsid w:val="00301EB6"/>
    <w:rsid w:val="00303D88"/>
    <w:rsid w:val="00310F0F"/>
    <w:rsid w:val="00326DDA"/>
    <w:rsid w:val="00326E90"/>
    <w:rsid w:val="0033189E"/>
    <w:rsid w:val="0033252C"/>
    <w:rsid w:val="00340174"/>
    <w:rsid w:val="00343404"/>
    <w:rsid w:val="00343544"/>
    <w:rsid w:val="0034621A"/>
    <w:rsid w:val="003517C5"/>
    <w:rsid w:val="003519F3"/>
    <w:rsid w:val="003538D7"/>
    <w:rsid w:val="0036284A"/>
    <w:rsid w:val="00363267"/>
    <w:rsid w:val="00363340"/>
    <w:rsid w:val="003653DE"/>
    <w:rsid w:val="00367F56"/>
    <w:rsid w:val="0037291B"/>
    <w:rsid w:val="00373270"/>
    <w:rsid w:val="0038456E"/>
    <w:rsid w:val="0038544E"/>
    <w:rsid w:val="0038619F"/>
    <w:rsid w:val="0038631F"/>
    <w:rsid w:val="0039137F"/>
    <w:rsid w:val="00392532"/>
    <w:rsid w:val="003929DF"/>
    <w:rsid w:val="003A0C61"/>
    <w:rsid w:val="003A6917"/>
    <w:rsid w:val="003B4026"/>
    <w:rsid w:val="003C273A"/>
    <w:rsid w:val="003D0B37"/>
    <w:rsid w:val="003D6324"/>
    <w:rsid w:val="003F5998"/>
    <w:rsid w:val="003F5A08"/>
    <w:rsid w:val="003F6FDA"/>
    <w:rsid w:val="003F7B1B"/>
    <w:rsid w:val="00400317"/>
    <w:rsid w:val="00400DE1"/>
    <w:rsid w:val="0040311E"/>
    <w:rsid w:val="0040371F"/>
    <w:rsid w:val="00407BD4"/>
    <w:rsid w:val="004106BD"/>
    <w:rsid w:val="004120BC"/>
    <w:rsid w:val="004150D1"/>
    <w:rsid w:val="0042727C"/>
    <w:rsid w:val="00431606"/>
    <w:rsid w:val="0044099B"/>
    <w:rsid w:val="00441B43"/>
    <w:rsid w:val="00447AFD"/>
    <w:rsid w:val="00450A86"/>
    <w:rsid w:val="00451B79"/>
    <w:rsid w:val="00455DDB"/>
    <w:rsid w:val="00465CBF"/>
    <w:rsid w:val="00466E78"/>
    <w:rsid w:val="0047400B"/>
    <w:rsid w:val="004743CE"/>
    <w:rsid w:val="00477879"/>
    <w:rsid w:val="00482152"/>
    <w:rsid w:val="0048333B"/>
    <w:rsid w:val="00495D66"/>
    <w:rsid w:val="004978C2"/>
    <w:rsid w:val="004A20D7"/>
    <w:rsid w:val="004A29F4"/>
    <w:rsid w:val="004A2D58"/>
    <w:rsid w:val="004A5159"/>
    <w:rsid w:val="004B416A"/>
    <w:rsid w:val="004B66EC"/>
    <w:rsid w:val="004D5F59"/>
    <w:rsid w:val="004D6F36"/>
    <w:rsid w:val="004E0D35"/>
    <w:rsid w:val="004E122B"/>
    <w:rsid w:val="004E7073"/>
    <w:rsid w:val="004F1538"/>
    <w:rsid w:val="004F4F30"/>
    <w:rsid w:val="004F535C"/>
    <w:rsid w:val="004F7A02"/>
    <w:rsid w:val="00500BCB"/>
    <w:rsid w:val="00502D87"/>
    <w:rsid w:val="00503834"/>
    <w:rsid w:val="00504044"/>
    <w:rsid w:val="00504E6B"/>
    <w:rsid w:val="00505A3B"/>
    <w:rsid w:val="00506CD5"/>
    <w:rsid w:val="0051027C"/>
    <w:rsid w:val="005364ED"/>
    <w:rsid w:val="00545AC7"/>
    <w:rsid w:val="00554151"/>
    <w:rsid w:val="00556DC5"/>
    <w:rsid w:val="00556DD9"/>
    <w:rsid w:val="00561755"/>
    <w:rsid w:val="00567CDB"/>
    <w:rsid w:val="00572494"/>
    <w:rsid w:val="005970D7"/>
    <w:rsid w:val="005B155F"/>
    <w:rsid w:val="005B202E"/>
    <w:rsid w:val="005B20E0"/>
    <w:rsid w:val="005B6E15"/>
    <w:rsid w:val="005B7CD7"/>
    <w:rsid w:val="005C0AD4"/>
    <w:rsid w:val="005D22F2"/>
    <w:rsid w:val="005D2E74"/>
    <w:rsid w:val="005D7FCA"/>
    <w:rsid w:val="005E0FAF"/>
    <w:rsid w:val="005E6C32"/>
    <w:rsid w:val="005E6D2B"/>
    <w:rsid w:val="005F3873"/>
    <w:rsid w:val="005F57A5"/>
    <w:rsid w:val="005F6CB5"/>
    <w:rsid w:val="0060331B"/>
    <w:rsid w:val="006111FF"/>
    <w:rsid w:val="00614EC2"/>
    <w:rsid w:val="00617877"/>
    <w:rsid w:val="00620002"/>
    <w:rsid w:val="00623E29"/>
    <w:rsid w:val="00633BF1"/>
    <w:rsid w:val="006479BE"/>
    <w:rsid w:val="00653C44"/>
    <w:rsid w:val="006575F8"/>
    <w:rsid w:val="00661ECA"/>
    <w:rsid w:val="0066225C"/>
    <w:rsid w:val="00663721"/>
    <w:rsid w:val="006668EF"/>
    <w:rsid w:val="00677EFB"/>
    <w:rsid w:val="00693A97"/>
    <w:rsid w:val="00695ABE"/>
    <w:rsid w:val="006A0BB1"/>
    <w:rsid w:val="006A5A80"/>
    <w:rsid w:val="006A6E6F"/>
    <w:rsid w:val="006B1D5B"/>
    <w:rsid w:val="006B5ABB"/>
    <w:rsid w:val="006B5F43"/>
    <w:rsid w:val="006B66FB"/>
    <w:rsid w:val="006C36F5"/>
    <w:rsid w:val="006D208C"/>
    <w:rsid w:val="006E52AE"/>
    <w:rsid w:val="006F0EFA"/>
    <w:rsid w:val="006F3637"/>
    <w:rsid w:val="00713C3A"/>
    <w:rsid w:val="00732C1D"/>
    <w:rsid w:val="00735012"/>
    <w:rsid w:val="0073635A"/>
    <w:rsid w:val="00740CD9"/>
    <w:rsid w:val="00742D7A"/>
    <w:rsid w:val="00743B5B"/>
    <w:rsid w:val="00747D1C"/>
    <w:rsid w:val="00751ECD"/>
    <w:rsid w:val="00766515"/>
    <w:rsid w:val="00766D67"/>
    <w:rsid w:val="00775F1E"/>
    <w:rsid w:val="00777003"/>
    <w:rsid w:val="00787171"/>
    <w:rsid w:val="00792A53"/>
    <w:rsid w:val="0079553D"/>
    <w:rsid w:val="007A3E9F"/>
    <w:rsid w:val="007A42B0"/>
    <w:rsid w:val="007B322D"/>
    <w:rsid w:val="007B3CF2"/>
    <w:rsid w:val="007B5396"/>
    <w:rsid w:val="007B7754"/>
    <w:rsid w:val="007C01EF"/>
    <w:rsid w:val="007C2F6A"/>
    <w:rsid w:val="007C6226"/>
    <w:rsid w:val="007D28AE"/>
    <w:rsid w:val="007D397A"/>
    <w:rsid w:val="007E0068"/>
    <w:rsid w:val="007E1689"/>
    <w:rsid w:val="007E4CDA"/>
    <w:rsid w:val="007E6751"/>
    <w:rsid w:val="007E7CB0"/>
    <w:rsid w:val="007F5FAD"/>
    <w:rsid w:val="008019E6"/>
    <w:rsid w:val="008068AD"/>
    <w:rsid w:val="00810DCC"/>
    <w:rsid w:val="00811821"/>
    <w:rsid w:val="00817CFF"/>
    <w:rsid w:val="008224EE"/>
    <w:rsid w:val="00823B2E"/>
    <w:rsid w:val="00823D7E"/>
    <w:rsid w:val="0082677B"/>
    <w:rsid w:val="00834A03"/>
    <w:rsid w:val="00835DDF"/>
    <w:rsid w:val="008379F5"/>
    <w:rsid w:val="00837F85"/>
    <w:rsid w:val="00840855"/>
    <w:rsid w:val="00841E22"/>
    <w:rsid w:val="008430BA"/>
    <w:rsid w:val="0084363A"/>
    <w:rsid w:val="00850176"/>
    <w:rsid w:val="008603EC"/>
    <w:rsid w:val="008607D7"/>
    <w:rsid w:val="0086115C"/>
    <w:rsid w:val="008649A6"/>
    <w:rsid w:val="00866F0F"/>
    <w:rsid w:val="00874D07"/>
    <w:rsid w:val="00875C74"/>
    <w:rsid w:val="0088443B"/>
    <w:rsid w:val="00884703"/>
    <w:rsid w:val="00895B4E"/>
    <w:rsid w:val="008B1AA5"/>
    <w:rsid w:val="008B4DB7"/>
    <w:rsid w:val="008C2283"/>
    <w:rsid w:val="008C278E"/>
    <w:rsid w:val="008C32C5"/>
    <w:rsid w:val="008C3B3A"/>
    <w:rsid w:val="008D0BB3"/>
    <w:rsid w:val="008D4B80"/>
    <w:rsid w:val="008D54C9"/>
    <w:rsid w:val="008D5BCD"/>
    <w:rsid w:val="008E0464"/>
    <w:rsid w:val="008E09EA"/>
    <w:rsid w:val="008E1377"/>
    <w:rsid w:val="008E203B"/>
    <w:rsid w:val="008F5592"/>
    <w:rsid w:val="008F5A1D"/>
    <w:rsid w:val="00901796"/>
    <w:rsid w:val="00920EE9"/>
    <w:rsid w:val="0094572E"/>
    <w:rsid w:val="00947D6A"/>
    <w:rsid w:val="00951307"/>
    <w:rsid w:val="00954098"/>
    <w:rsid w:val="00954187"/>
    <w:rsid w:val="009550E4"/>
    <w:rsid w:val="00957D5F"/>
    <w:rsid w:val="00960062"/>
    <w:rsid w:val="00960962"/>
    <w:rsid w:val="00965876"/>
    <w:rsid w:val="00984402"/>
    <w:rsid w:val="00992B1D"/>
    <w:rsid w:val="0099363F"/>
    <w:rsid w:val="00993FA4"/>
    <w:rsid w:val="009A60D8"/>
    <w:rsid w:val="009A6F14"/>
    <w:rsid w:val="009B0313"/>
    <w:rsid w:val="009B1560"/>
    <w:rsid w:val="009B45C5"/>
    <w:rsid w:val="009B6385"/>
    <w:rsid w:val="009B702D"/>
    <w:rsid w:val="009C1226"/>
    <w:rsid w:val="009C2D79"/>
    <w:rsid w:val="009C3AC8"/>
    <w:rsid w:val="009D17BB"/>
    <w:rsid w:val="009D2777"/>
    <w:rsid w:val="009D6D0E"/>
    <w:rsid w:val="009D7148"/>
    <w:rsid w:val="009D7478"/>
    <w:rsid w:val="009E3EF2"/>
    <w:rsid w:val="009E459C"/>
    <w:rsid w:val="009E57A5"/>
    <w:rsid w:val="009E7025"/>
    <w:rsid w:val="009F79B0"/>
    <w:rsid w:val="00A114B8"/>
    <w:rsid w:val="00A11BBA"/>
    <w:rsid w:val="00A13D90"/>
    <w:rsid w:val="00A174CA"/>
    <w:rsid w:val="00A22AA1"/>
    <w:rsid w:val="00A3234D"/>
    <w:rsid w:val="00A32B38"/>
    <w:rsid w:val="00A35FF4"/>
    <w:rsid w:val="00A44C08"/>
    <w:rsid w:val="00A50A07"/>
    <w:rsid w:val="00A528B9"/>
    <w:rsid w:val="00A55A1B"/>
    <w:rsid w:val="00A60FDA"/>
    <w:rsid w:val="00A620C3"/>
    <w:rsid w:val="00A62212"/>
    <w:rsid w:val="00A63126"/>
    <w:rsid w:val="00A64144"/>
    <w:rsid w:val="00A70285"/>
    <w:rsid w:val="00A834F1"/>
    <w:rsid w:val="00A84276"/>
    <w:rsid w:val="00A92061"/>
    <w:rsid w:val="00A92DE9"/>
    <w:rsid w:val="00A9491C"/>
    <w:rsid w:val="00AA5378"/>
    <w:rsid w:val="00AB44B5"/>
    <w:rsid w:val="00AB6AF6"/>
    <w:rsid w:val="00AC10B9"/>
    <w:rsid w:val="00AC3A62"/>
    <w:rsid w:val="00AC5159"/>
    <w:rsid w:val="00AC557F"/>
    <w:rsid w:val="00AD4145"/>
    <w:rsid w:val="00AD72E0"/>
    <w:rsid w:val="00AF1BDF"/>
    <w:rsid w:val="00AF2C14"/>
    <w:rsid w:val="00B00C03"/>
    <w:rsid w:val="00B03D9D"/>
    <w:rsid w:val="00B1234F"/>
    <w:rsid w:val="00B16F09"/>
    <w:rsid w:val="00B24012"/>
    <w:rsid w:val="00B24D86"/>
    <w:rsid w:val="00B36128"/>
    <w:rsid w:val="00B50AE6"/>
    <w:rsid w:val="00B5365D"/>
    <w:rsid w:val="00B55288"/>
    <w:rsid w:val="00B56D56"/>
    <w:rsid w:val="00B64986"/>
    <w:rsid w:val="00B65C74"/>
    <w:rsid w:val="00B662F0"/>
    <w:rsid w:val="00B71DD3"/>
    <w:rsid w:val="00B75A21"/>
    <w:rsid w:val="00B90A66"/>
    <w:rsid w:val="00B91FE0"/>
    <w:rsid w:val="00B92672"/>
    <w:rsid w:val="00B9312C"/>
    <w:rsid w:val="00B97DDF"/>
    <w:rsid w:val="00BA2CB7"/>
    <w:rsid w:val="00BB362A"/>
    <w:rsid w:val="00BB38B7"/>
    <w:rsid w:val="00BB7F91"/>
    <w:rsid w:val="00BC0275"/>
    <w:rsid w:val="00BC53BA"/>
    <w:rsid w:val="00BC673F"/>
    <w:rsid w:val="00BC71FB"/>
    <w:rsid w:val="00BD7A81"/>
    <w:rsid w:val="00BF0292"/>
    <w:rsid w:val="00BF1037"/>
    <w:rsid w:val="00BF1D8D"/>
    <w:rsid w:val="00BF7974"/>
    <w:rsid w:val="00C00CC7"/>
    <w:rsid w:val="00C02F69"/>
    <w:rsid w:val="00C06551"/>
    <w:rsid w:val="00C125E7"/>
    <w:rsid w:val="00C13511"/>
    <w:rsid w:val="00C1437D"/>
    <w:rsid w:val="00C143E9"/>
    <w:rsid w:val="00C1613C"/>
    <w:rsid w:val="00C20BF5"/>
    <w:rsid w:val="00C23E13"/>
    <w:rsid w:val="00C25CE1"/>
    <w:rsid w:val="00C45FB6"/>
    <w:rsid w:val="00C513FE"/>
    <w:rsid w:val="00C57FAD"/>
    <w:rsid w:val="00C618B6"/>
    <w:rsid w:val="00C62BFC"/>
    <w:rsid w:val="00C66D12"/>
    <w:rsid w:val="00C67B75"/>
    <w:rsid w:val="00C72F35"/>
    <w:rsid w:val="00C734F8"/>
    <w:rsid w:val="00C7450C"/>
    <w:rsid w:val="00C7716F"/>
    <w:rsid w:val="00C80995"/>
    <w:rsid w:val="00C80E3C"/>
    <w:rsid w:val="00C8336B"/>
    <w:rsid w:val="00C8374D"/>
    <w:rsid w:val="00C86D28"/>
    <w:rsid w:val="00C92FC8"/>
    <w:rsid w:val="00C95775"/>
    <w:rsid w:val="00C973A2"/>
    <w:rsid w:val="00CA2EA9"/>
    <w:rsid w:val="00CB11C4"/>
    <w:rsid w:val="00CB268A"/>
    <w:rsid w:val="00CB2F7C"/>
    <w:rsid w:val="00CB3A58"/>
    <w:rsid w:val="00CB6C8A"/>
    <w:rsid w:val="00CC031B"/>
    <w:rsid w:val="00CC382C"/>
    <w:rsid w:val="00CD0010"/>
    <w:rsid w:val="00CD2B2B"/>
    <w:rsid w:val="00CD6B0B"/>
    <w:rsid w:val="00CD7B5D"/>
    <w:rsid w:val="00CE06F1"/>
    <w:rsid w:val="00CF5022"/>
    <w:rsid w:val="00D102E6"/>
    <w:rsid w:val="00D1051D"/>
    <w:rsid w:val="00D10C77"/>
    <w:rsid w:val="00D15854"/>
    <w:rsid w:val="00D31AF2"/>
    <w:rsid w:val="00D33A70"/>
    <w:rsid w:val="00D37BE1"/>
    <w:rsid w:val="00D443EE"/>
    <w:rsid w:val="00D62EA5"/>
    <w:rsid w:val="00D65DB1"/>
    <w:rsid w:val="00D666F4"/>
    <w:rsid w:val="00D669C3"/>
    <w:rsid w:val="00D6702F"/>
    <w:rsid w:val="00D71F15"/>
    <w:rsid w:val="00D85784"/>
    <w:rsid w:val="00D86CF3"/>
    <w:rsid w:val="00D90664"/>
    <w:rsid w:val="00D9130E"/>
    <w:rsid w:val="00DA0FBF"/>
    <w:rsid w:val="00DA2DFD"/>
    <w:rsid w:val="00DB1F93"/>
    <w:rsid w:val="00DB3730"/>
    <w:rsid w:val="00DB49D8"/>
    <w:rsid w:val="00DB6F63"/>
    <w:rsid w:val="00DC02C3"/>
    <w:rsid w:val="00DC242A"/>
    <w:rsid w:val="00DC39C2"/>
    <w:rsid w:val="00DD1698"/>
    <w:rsid w:val="00DD243F"/>
    <w:rsid w:val="00DD74CD"/>
    <w:rsid w:val="00DE397F"/>
    <w:rsid w:val="00DE4D06"/>
    <w:rsid w:val="00DE6C54"/>
    <w:rsid w:val="00DE71BF"/>
    <w:rsid w:val="00E02108"/>
    <w:rsid w:val="00E12152"/>
    <w:rsid w:val="00E14781"/>
    <w:rsid w:val="00E20AE3"/>
    <w:rsid w:val="00E27629"/>
    <w:rsid w:val="00E30E5D"/>
    <w:rsid w:val="00E427F5"/>
    <w:rsid w:val="00E4658A"/>
    <w:rsid w:val="00E50EEA"/>
    <w:rsid w:val="00E571E2"/>
    <w:rsid w:val="00E57864"/>
    <w:rsid w:val="00E5795A"/>
    <w:rsid w:val="00E61664"/>
    <w:rsid w:val="00E70CBC"/>
    <w:rsid w:val="00E70FD8"/>
    <w:rsid w:val="00E72714"/>
    <w:rsid w:val="00E75967"/>
    <w:rsid w:val="00E76218"/>
    <w:rsid w:val="00E76927"/>
    <w:rsid w:val="00E77614"/>
    <w:rsid w:val="00E828CA"/>
    <w:rsid w:val="00E832F7"/>
    <w:rsid w:val="00E83996"/>
    <w:rsid w:val="00E84BA6"/>
    <w:rsid w:val="00E84D82"/>
    <w:rsid w:val="00E85A79"/>
    <w:rsid w:val="00E9387C"/>
    <w:rsid w:val="00E95325"/>
    <w:rsid w:val="00EA586B"/>
    <w:rsid w:val="00EA70E0"/>
    <w:rsid w:val="00EB1085"/>
    <w:rsid w:val="00EC291C"/>
    <w:rsid w:val="00EC36D5"/>
    <w:rsid w:val="00EC4736"/>
    <w:rsid w:val="00ED04BA"/>
    <w:rsid w:val="00ED115F"/>
    <w:rsid w:val="00ED3DF8"/>
    <w:rsid w:val="00ED54E8"/>
    <w:rsid w:val="00ED5833"/>
    <w:rsid w:val="00EE1B1F"/>
    <w:rsid w:val="00EE3F36"/>
    <w:rsid w:val="00EE5C12"/>
    <w:rsid w:val="00EF0444"/>
    <w:rsid w:val="00F14BA2"/>
    <w:rsid w:val="00F14E0F"/>
    <w:rsid w:val="00F16E6D"/>
    <w:rsid w:val="00F2156A"/>
    <w:rsid w:val="00F232DB"/>
    <w:rsid w:val="00F27BBB"/>
    <w:rsid w:val="00F3594B"/>
    <w:rsid w:val="00F415A6"/>
    <w:rsid w:val="00F500F6"/>
    <w:rsid w:val="00F54D1D"/>
    <w:rsid w:val="00F565D7"/>
    <w:rsid w:val="00F6137B"/>
    <w:rsid w:val="00F621B6"/>
    <w:rsid w:val="00F622A0"/>
    <w:rsid w:val="00F83102"/>
    <w:rsid w:val="00F84BF9"/>
    <w:rsid w:val="00F8569F"/>
    <w:rsid w:val="00F868E8"/>
    <w:rsid w:val="00F90629"/>
    <w:rsid w:val="00F9126F"/>
    <w:rsid w:val="00F91AB3"/>
    <w:rsid w:val="00F97EFD"/>
    <w:rsid w:val="00FB0AE2"/>
    <w:rsid w:val="00FB16AB"/>
    <w:rsid w:val="00FB4537"/>
    <w:rsid w:val="00FB5D75"/>
    <w:rsid w:val="00FB77F8"/>
    <w:rsid w:val="00FC121A"/>
    <w:rsid w:val="00FC20B2"/>
    <w:rsid w:val="00FD5DA1"/>
    <w:rsid w:val="00FE0460"/>
    <w:rsid w:val="00FE7FAC"/>
    <w:rsid w:val="00FF08E5"/>
    <w:rsid w:val="00FF1CF2"/>
    <w:rsid w:val="00FF42AF"/>
    <w:rsid w:val="00FF4465"/>
    <w:rsid w:val="00FF5DFD"/>
    <w:rsid w:val="018E57AC"/>
    <w:rsid w:val="022403B4"/>
    <w:rsid w:val="03BD74D3"/>
    <w:rsid w:val="06D47067"/>
    <w:rsid w:val="13682DA1"/>
    <w:rsid w:val="1399CA0A"/>
    <w:rsid w:val="150F1B14"/>
    <w:rsid w:val="151269CE"/>
    <w:rsid w:val="1E060EEE"/>
    <w:rsid w:val="220FD168"/>
    <w:rsid w:val="2350AE5F"/>
    <w:rsid w:val="27904F5A"/>
    <w:rsid w:val="2871AC20"/>
    <w:rsid w:val="29F83E4D"/>
    <w:rsid w:val="2BC94F02"/>
    <w:rsid w:val="2E753214"/>
    <w:rsid w:val="3964E688"/>
    <w:rsid w:val="3A52CE2D"/>
    <w:rsid w:val="3ADEEA0C"/>
    <w:rsid w:val="3C7E57B7"/>
    <w:rsid w:val="3DF2B8C7"/>
    <w:rsid w:val="3DFBFE96"/>
    <w:rsid w:val="3E4EE891"/>
    <w:rsid w:val="3EC926EB"/>
    <w:rsid w:val="3EE82D96"/>
    <w:rsid w:val="3F8F2515"/>
    <w:rsid w:val="3FB1AD52"/>
    <w:rsid w:val="3FBC6DD0"/>
    <w:rsid w:val="408E2ACA"/>
    <w:rsid w:val="41061EDB"/>
    <w:rsid w:val="42AFAF1B"/>
    <w:rsid w:val="462FCBF0"/>
    <w:rsid w:val="4E538DAA"/>
    <w:rsid w:val="5089E0C6"/>
    <w:rsid w:val="50EF42F7"/>
    <w:rsid w:val="5136DA46"/>
    <w:rsid w:val="51600340"/>
    <w:rsid w:val="5209519C"/>
    <w:rsid w:val="55A48332"/>
    <w:rsid w:val="595AEFEE"/>
    <w:rsid w:val="5F6A7C0A"/>
    <w:rsid w:val="66918AEA"/>
    <w:rsid w:val="6D45DBA3"/>
    <w:rsid w:val="6E1921B9"/>
    <w:rsid w:val="6F2B98EC"/>
    <w:rsid w:val="7057E921"/>
    <w:rsid w:val="70764913"/>
    <w:rsid w:val="74D49103"/>
    <w:rsid w:val="7B686BC8"/>
    <w:rsid w:val="7CB3EBB2"/>
    <w:rsid w:val="7DFBDF97"/>
    <w:rsid w:val="7E249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4809"/>
  <w15:chartTrackingRefBased/>
  <w15:docId w15:val="{39460CD4-1095-40B4-A050-BE494362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C0275"/>
    <w:pPr>
      <w:autoSpaceDE w:val="0"/>
      <w:autoSpaceDN w:val="0"/>
      <w:adjustRightInd w:val="0"/>
      <w:spacing w:before="69" w:after="0" w:line="240" w:lineRule="auto"/>
      <w:ind w:left="791" w:right="218" w:hanging="2684"/>
      <w:outlineLvl w:val="0"/>
    </w:pPr>
    <w:rPr>
      <w:b/>
      <w:bCs/>
    </w:rPr>
  </w:style>
  <w:style w:type="paragraph" w:styleId="Heading2">
    <w:name w:val="heading 2"/>
    <w:basedOn w:val="Normal"/>
    <w:next w:val="Normal"/>
    <w:link w:val="Heading2Char"/>
    <w:uiPriority w:val="9"/>
    <w:semiHidden/>
    <w:unhideWhenUsed/>
    <w:qFormat/>
    <w:rsid w:val="0025124C"/>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0275"/>
    <w:rPr>
      <w:b/>
      <w:bCs/>
    </w:rPr>
  </w:style>
  <w:style w:type="paragraph" w:styleId="BodyText">
    <w:name w:val="Body Text"/>
    <w:basedOn w:val="Normal"/>
    <w:link w:val="BodyTextChar"/>
    <w:uiPriority w:val="1"/>
    <w:qFormat/>
    <w:rsid w:val="00BC0275"/>
    <w:pPr>
      <w:autoSpaceDE w:val="0"/>
      <w:autoSpaceDN w:val="0"/>
      <w:adjustRightInd w:val="0"/>
      <w:spacing w:after="0" w:line="240" w:lineRule="auto"/>
      <w:ind w:left="119"/>
    </w:pPr>
  </w:style>
  <w:style w:type="character" w:customStyle="1" w:styleId="BodyTextChar">
    <w:name w:val="Body Text Char"/>
    <w:basedOn w:val="DefaultParagraphFont"/>
    <w:link w:val="BodyText"/>
    <w:uiPriority w:val="1"/>
    <w:rsid w:val="00BC0275"/>
  </w:style>
  <w:style w:type="paragraph" w:styleId="ListParagraph">
    <w:name w:val="List Paragraph"/>
    <w:basedOn w:val="Normal"/>
    <w:uiPriority w:val="1"/>
    <w:qFormat/>
    <w:rsid w:val="00BC0275"/>
    <w:pPr>
      <w:autoSpaceDE w:val="0"/>
      <w:autoSpaceDN w:val="0"/>
      <w:adjustRightInd w:val="0"/>
      <w:spacing w:before="120" w:after="0" w:line="240" w:lineRule="auto"/>
      <w:ind w:left="838" w:hanging="360"/>
    </w:pPr>
  </w:style>
  <w:style w:type="paragraph" w:styleId="FootnoteText">
    <w:name w:val="footnote text"/>
    <w:basedOn w:val="Normal"/>
    <w:link w:val="FootnoteTextChar"/>
    <w:unhideWhenUsed/>
    <w:rsid w:val="00BC0275"/>
    <w:pPr>
      <w:spacing w:after="0" w:line="240" w:lineRule="auto"/>
    </w:pPr>
    <w:rPr>
      <w:sz w:val="20"/>
      <w:szCs w:val="20"/>
    </w:rPr>
  </w:style>
  <w:style w:type="character" w:customStyle="1" w:styleId="FootnoteTextChar">
    <w:name w:val="Footnote Text Char"/>
    <w:basedOn w:val="DefaultParagraphFont"/>
    <w:link w:val="FootnoteText"/>
    <w:rsid w:val="00BC0275"/>
    <w:rPr>
      <w:sz w:val="20"/>
      <w:szCs w:val="20"/>
    </w:rPr>
  </w:style>
  <w:style w:type="character" w:styleId="FootnoteReference">
    <w:name w:val="footnote reference"/>
    <w:aliases w:val="o,o + Times New Roman,fr,Style 3,o1,o2,o3,o4,o5,o6,o11,o21,o7,Footnote Reference2,Footnote Reference1,Style 13,Style 12,Style 15,Style 17,Style 9,fr1,fr2,fr3,Style 18,(NECG) Footnote Reference,Style 20,Style 7,Style 8,Style 19,Style 5"/>
    <w:basedOn w:val="DefaultParagraphFont"/>
    <w:unhideWhenUsed/>
    <w:rsid w:val="00BC0275"/>
    <w:rPr>
      <w:vertAlign w:val="superscript"/>
    </w:rPr>
  </w:style>
  <w:style w:type="character" w:styleId="CommentReference">
    <w:name w:val="annotation reference"/>
    <w:basedOn w:val="DefaultParagraphFont"/>
    <w:uiPriority w:val="99"/>
    <w:semiHidden/>
    <w:unhideWhenUsed/>
    <w:rsid w:val="00BC0275"/>
    <w:rPr>
      <w:sz w:val="16"/>
      <w:szCs w:val="16"/>
    </w:rPr>
  </w:style>
  <w:style w:type="paragraph" w:styleId="CommentText">
    <w:name w:val="annotation text"/>
    <w:basedOn w:val="Normal"/>
    <w:link w:val="CommentTextChar"/>
    <w:uiPriority w:val="99"/>
    <w:semiHidden/>
    <w:unhideWhenUsed/>
    <w:rsid w:val="00BC0275"/>
    <w:pPr>
      <w:spacing w:line="240" w:lineRule="auto"/>
    </w:pPr>
    <w:rPr>
      <w:sz w:val="20"/>
      <w:szCs w:val="20"/>
    </w:rPr>
  </w:style>
  <w:style w:type="character" w:customStyle="1" w:styleId="CommentTextChar">
    <w:name w:val="Comment Text Char"/>
    <w:basedOn w:val="DefaultParagraphFont"/>
    <w:link w:val="CommentText"/>
    <w:uiPriority w:val="99"/>
    <w:semiHidden/>
    <w:rsid w:val="00BC0275"/>
    <w:rPr>
      <w:sz w:val="20"/>
      <w:szCs w:val="20"/>
    </w:rPr>
  </w:style>
  <w:style w:type="paragraph" w:styleId="CommentSubject">
    <w:name w:val="annotation subject"/>
    <w:basedOn w:val="CommentText"/>
    <w:next w:val="CommentText"/>
    <w:link w:val="CommentSubjectChar"/>
    <w:uiPriority w:val="99"/>
    <w:semiHidden/>
    <w:unhideWhenUsed/>
    <w:rsid w:val="00BC0275"/>
    <w:rPr>
      <w:b/>
      <w:bCs/>
    </w:rPr>
  </w:style>
  <w:style w:type="character" w:customStyle="1" w:styleId="CommentSubjectChar">
    <w:name w:val="Comment Subject Char"/>
    <w:basedOn w:val="CommentTextChar"/>
    <w:link w:val="CommentSubject"/>
    <w:uiPriority w:val="99"/>
    <w:semiHidden/>
    <w:rsid w:val="00BC0275"/>
    <w:rPr>
      <w:b/>
      <w:bCs/>
      <w:sz w:val="20"/>
      <w:szCs w:val="20"/>
    </w:rPr>
  </w:style>
  <w:style w:type="character" w:customStyle="1" w:styleId="Heading2Char">
    <w:name w:val="Heading 2 Char"/>
    <w:basedOn w:val="DefaultParagraphFont"/>
    <w:link w:val="Heading2"/>
    <w:uiPriority w:val="9"/>
    <w:semiHidden/>
    <w:rsid w:val="0025124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unhideWhenUsed/>
    <w:rsid w:val="00AC10B9"/>
    <w:rPr>
      <w:color w:val="605E5C"/>
      <w:shd w:val="clear" w:color="auto" w:fill="E1DFDD"/>
    </w:rPr>
  </w:style>
  <w:style w:type="character" w:styleId="Mention">
    <w:name w:val="Mention"/>
    <w:basedOn w:val="DefaultParagraphFont"/>
    <w:uiPriority w:val="99"/>
    <w:unhideWhenUsed/>
    <w:rsid w:val="00AC10B9"/>
    <w:rPr>
      <w:color w:val="2B579A"/>
      <w:shd w:val="clear" w:color="auto" w:fill="E1DFDD"/>
    </w:rPr>
  </w:style>
  <w:style w:type="paragraph" w:styleId="Header">
    <w:name w:val="header"/>
    <w:basedOn w:val="Normal"/>
    <w:link w:val="HeaderChar"/>
    <w:uiPriority w:val="99"/>
    <w:unhideWhenUsed/>
    <w:rsid w:val="00385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44E"/>
  </w:style>
  <w:style w:type="paragraph" w:styleId="Footer">
    <w:name w:val="footer"/>
    <w:basedOn w:val="Normal"/>
    <w:link w:val="FooterChar"/>
    <w:uiPriority w:val="99"/>
    <w:unhideWhenUsed/>
    <w:rsid w:val="00385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44E"/>
  </w:style>
  <w:style w:type="character" w:styleId="Hyperlink">
    <w:name w:val="Hyperlink"/>
    <w:basedOn w:val="DefaultParagraphFont"/>
    <w:uiPriority w:val="99"/>
    <w:unhideWhenUsed/>
    <w:rsid w:val="002076D9"/>
    <w:rPr>
      <w:rFonts w:cs="Times New Roman"/>
      <w:color w:val="0000FF" w:themeColor="hyperlink"/>
      <w:u w:val="single"/>
    </w:rPr>
  </w:style>
  <w:style w:type="paragraph" w:customStyle="1" w:styleId="Heading1Text">
    <w:name w:val="Heading 1 Text"/>
    <w:basedOn w:val="Normal"/>
    <w:link w:val="Heading1TextChar"/>
    <w:rsid w:val="009C1226"/>
    <w:pPr>
      <w:spacing w:after="0" w:line="360" w:lineRule="auto"/>
      <w:ind w:firstLine="720"/>
    </w:pPr>
    <w:rPr>
      <w:rFonts w:eastAsia="Times New Roman"/>
      <w:szCs w:val="20"/>
    </w:rPr>
  </w:style>
  <w:style w:type="paragraph" w:customStyle="1" w:styleId="Heading2Text">
    <w:name w:val="Heading 2 Text"/>
    <w:basedOn w:val="Heading1Text"/>
    <w:link w:val="Heading2TextChar"/>
    <w:rsid w:val="009C1226"/>
  </w:style>
  <w:style w:type="character" w:customStyle="1" w:styleId="Heading2TextChar">
    <w:name w:val="Heading 2 Text Char"/>
    <w:basedOn w:val="DefaultParagraphFont"/>
    <w:link w:val="Heading2Text"/>
    <w:locked/>
    <w:rsid w:val="009C1226"/>
    <w:rPr>
      <w:rFonts w:eastAsia="Times New Roman"/>
      <w:szCs w:val="20"/>
    </w:rPr>
  </w:style>
  <w:style w:type="character" w:customStyle="1" w:styleId="Heading1TextChar">
    <w:name w:val="Heading 1 Text Char"/>
    <w:link w:val="Heading1Text"/>
    <w:rsid w:val="009C1226"/>
    <w:rPr>
      <w:rFonts w:eastAsia="Times New Roman"/>
      <w:szCs w:val="20"/>
    </w:rPr>
  </w:style>
  <w:style w:type="paragraph" w:styleId="Revision">
    <w:name w:val="Revision"/>
    <w:hidden/>
    <w:uiPriority w:val="99"/>
    <w:semiHidden/>
    <w:rsid w:val="00F97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547531">
      <w:bodyDiv w:val="1"/>
      <w:marLeft w:val="0"/>
      <w:marRight w:val="0"/>
      <w:marTop w:val="0"/>
      <w:marBottom w:val="0"/>
      <w:divBdr>
        <w:top w:val="none" w:sz="0" w:space="0" w:color="auto"/>
        <w:left w:val="none" w:sz="0" w:space="0" w:color="auto"/>
        <w:bottom w:val="none" w:sz="0" w:space="0" w:color="auto"/>
        <w:right w:val="none" w:sz="0" w:space="0" w:color="auto"/>
      </w:divBdr>
    </w:div>
    <w:div w:id="1154107645">
      <w:bodyDiv w:val="1"/>
      <w:marLeft w:val="0"/>
      <w:marRight w:val="0"/>
      <w:marTop w:val="0"/>
      <w:marBottom w:val="0"/>
      <w:divBdr>
        <w:top w:val="none" w:sz="0" w:space="0" w:color="auto"/>
        <w:left w:val="none" w:sz="0" w:space="0" w:color="auto"/>
        <w:bottom w:val="none" w:sz="0" w:space="0" w:color="auto"/>
        <w:right w:val="none" w:sz="0" w:space="0" w:color="auto"/>
      </w:divBdr>
    </w:div>
    <w:div w:id="1439981199">
      <w:bodyDiv w:val="1"/>
      <w:marLeft w:val="0"/>
      <w:marRight w:val="0"/>
      <w:marTop w:val="0"/>
      <w:marBottom w:val="0"/>
      <w:divBdr>
        <w:top w:val="none" w:sz="0" w:space="0" w:color="auto"/>
        <w:left w:val="none" w:sz="0" w:space="0" w:color="auto"/>
        <w:bottom w:val="none" w:sz="0" w:space="0" w:color="auto"/>
        <w:right w:val="none" w:sz="0" w:space="0" w:color="auto"/>
      </w:divBdr>
    </w:div>
    <w:div w:id="1545022245">
      <w:bodyDiv w:val="1"/>
      <w:marLeft w:val="0"/>
      <w:marRight w:val="0"/>
      <w:marTop w:val="0"/>
      <w:marBottom w:val="0"/>
      <w:divBdr>
        <w:top w:val="none" w:sz="0" w:space="0" w:color="auto"/>
        <w:left w:val="none" w:sz="0" w:space="0" w:color="auto"/>
        <w:bottom w:val="none" w:sz="0" w:space="0" w:color="auto"/>
        <w:right w:val="none" w:sz="0" w:space="0" w:color="auto"/>
      </w:divBdr>
    </w:div>
    <w:div w:id="162006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admin@sc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cAdvocatesOffice@cpuc.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e.com/avisos" TargetMode="External"/><Relationship Id="rId5" Type="http://schemas.openxmlformats.org/officeDocument/2006/relationships/numbering" Target="numbering.xml"/><Relationship Id="rId15" Type="http://schemas.openxmlformats.org/officeDocument/2006/relationships/hyperlink" Target="mailto:Public.Advisor@cpuc.c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e.com/applica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e.com/es/residential/assistance/fera-care?from=/careandf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8E9A571E63CD40AD3EEDA4B68BFF9E" ma:contentTypeVersion="4" ma:contentTypeDescription="Create a new document." ma:contentTypeScope="" ma:versionID="7833316b7d17bce68ede6ae9f7648b03">
  <xsd:schema xmlns:xsd="http://www.w3.org/2001/XMLSchema" xmlns:xs="http://www.w3.org/2001/XMLSchema" xmlns:p="http://schemas.microsoft.com/office/2006/metadata/properties" xmlns:ns2="58182568-5517-4f50-a948-a50908e52d2a" xmlns:ns3="68f242aa-74f4-4fe0-9d1d-2fa81cc3f13d" targetNamespace="http://schemas.microsoft.com/office/2006/metadata/properties" ma:root="true" ma:fieldsID="c47fdaad7e029fa57b255b38ad8347a2" ns2:_="" ns3:_="">
    <xsd:import namespace="58182568-5517-4f50-a948-a50908e52d2a"/>
    <xsd:import namespace="68f242aa-74f4-4fe0-9d1d-2fa81cc3f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82568-5517-4f50-a948-a50908e52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242aa-74f4-4fe0-9d1d-2fa81cc3f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8f242aa-74f4-4fe0-9d1d-2fa81cc3f13d">
      <UserInfo>
        <DisplayName>Russell Archer</DisplayName>
        <AccountId>18631</AccountId>
        <AccountType/>
      </UserInfo>
      <UserInfo>
        <DisplayName>Claire Torchia</DisplayName>
        <AccountId>213</AccountId>
        <AccountType/>
      </UserInfo>
      <UserInfo>
        <DisplayName>Gloria Ing</DisplayName>
        <AccountId>94</AccountId>
        <AccountType/>
      </UserInfo>
      <UserInfo>
        <DisplayName>William K. Briggs</DisplayName>
        <AccountId>7128</AccountId>
        <AccountType/>
      </UserInfo>
      <UserInfo>
        <DisplayName>Kris G Vyas</DisplayName>
        <AccountId>120</AccountId>
        <AccountType/>
      </UserInfo>
      <UserInfo>
        <DisplayName>Kyu Dong Lee</DisplayName>
        <AccountId>6130</AccountId>
        <AccountType/>
      </UserInfo>
      <UserInfo>
        <DisplayName>Jonathan Kompara</DisplayName>
        <AccountId>2214</AccountId>
        <AccountType/>
      </UserInfo>
      <UserInfo>
        <DisplayName>Holly Fazio</DisplayName>
        <AccountId>2947</AccountId>
        <AccountType/>
      </UserInfo>
      <UserInfo>
        <DisplayName>Javier Aguiniga</DisplayName>
        <AccountId>7104</AccountId>
        <AccountType/>
      </UserInfo>
    </SharedWithUsers>
  </documentManagement>
</p:properties>
</file>

<file path=customXml/itemProps1.xml><?xml version="1.0" encoding="utf-8"?>
<ds:datastoreItem xmlns:ds="http://schemas.openxmlformats.org/officeDocument/2006/customXml" ds:itemID="{C3084308-0A1A-4C43-AD54-3CB26A014E86}">
  <ds:schemaRefs>
    <ds:schemaRef ds:uri="http://schemas.microsoft.com/sharepoint/v3/contenttype/forms"/>
  </ds:schemaRefs>
</ds:datastoreItem>
</file>

<file path=customXml/itemProps2.xml><?xml version="1.0" encoding="utf-8"?>
<ds:datastoreItem xmlns:ds="http://schemas.openxmlformats.org/officeDocument/2006/customXml" ds:itemID="{0B7E172A-715A-41A7-95A1-1FA4F2FAAC65}">
  <ds:schemaRefs>
    <ds:schemaRef ds:uri="http://schemas.openxmlformats.org/officeDocument/2006/bibliography"/>
  </ds:schemaRefs>
</ds:datastoreItem>
</file>

<file path=customXml/itemProps3.xml><?xml version="1.0" encoding="utf-8"?>
<ds:datastoreItem xmlns:ds="http://schemas.openxmlformats.org/officeDocument/2006/customXml" ds:itemID="{C85BD303-E7CE-4DF7-9946-E84FE5EBB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82568-5517-4f50-a948-a50908e52d2a"/>
    <ds:schemaRef ds:uri="68f242aa-74f4-4fe0-9d1d-2fa81cc3f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AC56E-6FD5-4A82-9E91-18532D91D155}">
  <ds:schemaRefs>
    <ds:schemaRef ds:uri="http://schemas.microsoft.com/office/2006/metadata/properties"/>
    <ds:schemaRef ds:uri="http://schemas.microsoft.com/office/infopath/2007/PartnerControls"/>
    <ds:schemaRef ds:uri="68f242aa-74f4-4fe0-9d1d-2fa81cc3f13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 Dong Lee</dc:creator>
  <cp:keywords/>
  <dc:description/>
  <cp:lastModifiedBy>Yamunadevi Subramanian</cp:lastModifiedBy>
  <cp:revision>2</cp:revision>
  <cp:lastPrinted>2023-05-23T20:17:00Z</cp:lastPrinted>
  <dcterms:created xsi:type="dcterms:W3CDTF">2023-05-24T04:45:00Z</dcterms:created>
  <dcterms:modified xsi:type="dcterms:W3CDTF">2023-05-24T04:45:00Z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3dd1c7-2c40-4a31-84b2-bec599b321a0_Enabled">
    <vt:lpwstr>true</vt:lpwstr>
  </property>
  <property fmtid="{D5CDD505-2E9C-101B-9397-08002B2CF9AE}" pid="3" name="MSIP_Label_bc3dd1c7-2c40-4a31-84b2-bec599b321a0_SetDate">
    <vt:lpwstr>2023-03-08T19:47:40Z</vt:lpwstr>
  </property>
  <property fmtid="{D5CDD505-2E9C-101B-9397-08002B2CF9AE}" pid="4" name="MSIP_Label_bc3dd1c7-2c40-4a31-84b2-bec599b321a0_Method">
    <vt:lpwstr>Standard</vt:lpwstr>
  </property>
  <property fmtid="{D5CDD505-2E9C-101B-9397-08002B2CF9AE}" pid="5" name="MSIP_Label_bc3dd1c7-2c40-4a31-84b2-bec599b321a0_Name">
    <vt:lpwstr>bc3dd1c7-2c40-4a31-84b2-bec599b321a0</vt:lpwstr>
  </property>
  <property fmtid="{D5CDD505-2E9C-101B-9397-08002B2CF9AE}" pid="6" name="MSIP_Label_bc3dd1c7-2c40-4a31-84b2-bec599b321a0_SiteId">
    <vt:lpwstr>5b2a8fee-4c95-4bdc-8aae-196f8aacb1b6</vt:lpwstr>
  </property>
  <property fmtid="{D5CDD505-2E9C-101B-9397-08002B2CF9AE}" pid="7" name="MSIP_Label_bc3dd1c7-2c40-4a31-84b2-bec599b321a0_ActionId">
    <vt:lpwstr>4826de81-3bff-4ec3-bc13-293af0cbc086</vt:lpwstr>
  </property>
  <property fmtid="{D5CDD505-2E9C-101B-9397-08002B2CF9AE}" pid="8" name="MSIP_Label_bc3dd1c7-2c40-4a31-84b2-bec599b321a0_ContentBits">
    <vt:lpwstr>0</vt:lpwstr>
  </property>
  <property fmtid="{D5CDD505-2E9C-101B-9397-08002B2CF9AE}" pid="9" name="ContentTypeId">
    <vt:lpwstr>0x010100728E9A571E63CD40AD3EEDA4B68BFF9E</vt:lpwstr>
  </property>
  <property fmtid="{D5CDD505-2E9C-101B-9397-08002B2CF9AE}" pid="10" name="MediaServiceImageTags">
    <vt:lpwstr/>
  </property>
  <property fmtid="{D5CDD505-2E9C-101B-9397-08002B2CF9AE}" pid="11" name="_dlc_DocIdItemGuid">
    <vt:lpwstr>477d3083-f888-458f-a29a-a5748d02e309</vt:lpwstr>
  </property>
  <property fmtid="{D5CDD505-2E9C-101B-9397-08002B2CF9AE}" pid="12" name="GrammarlyDocumentId">
    <vt:lpwstr>25722254b43a3f4d60a1958e8ddd55508f96cda0734b4084d5966e4a662c57fb</vt:lpwstr>
  </property>
</Properties>
</file>